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E8ADE" w14:textId="77777777" w:rsidR="003B61F7" w:rsidRDefault="003B61F7" w:rsidP="00CC3C69">
      <w:pPr>
        <w:jc w:val="center"/>
        <w:rPr>
          <w:b/>
          <w:bCs/>
          <w:u w:val="single"/>
        </w:rPr>
      </w:pPr>
    </w:p>
    <w:p w14:paraId="29FF3297" w14:textId="77777777" w:rsidR="003B61F7" w:rsidRDefault="003B61F7" w:rsidP="00CC3C69">
      <w:pPr>
        <w:jc w:val="center"/>
        <w:rPr>
          <w:b/>
          <w:bCs/>
          <w:u w:val="single"/>
        </w:rPr>
      </w:pPr>
    </w:p>
    <w:p w14:paraId="657E4B3D" w14:textId="77777777" w:rsidR="003B61F7" w:rsidRDefault="003B61F7" w:rsidP="00CC3C69">
      <w:pPr>
        <w:jc w:val="center"/>
        <w:rPr>
          <w:b/>
          <w:bCs/>
          <w:u w:val="single"/>
        </w:rPr>
      </w:pPr>
    </w:p>
    <w:p w14:paraId="19BBA9DD" w14:textId="77777777" w:rsidR="003B61F7" w:rsidRDefault="003B61F7" w:rsidP="00CC3C69">
      <w:pPr>
        <w:jc w:val="center"/>
        <w:rPr>
          <w:b/>
          <w:bCs/>
          <w:u w:val="single"/>
        </w:rPr>
      </w:pPr>
    </w:p>
    <w:p w14:paraId="4FBB9877" w14:textId="391946BE" w:rsidR="007D70F6" w:rsidRPr="00CC3C69" w:rsidRDefault="00CC3C69" w:rsidP="00CC3C69">
      <w:pPr>
        <w:jc w:val="center"/>
        <w:rPr>
          <w:b/>
          <w:bCs/>
          <w:u w:val="single"/>
        </w:rPr>
      </w:pPr>
      <w:r w:rsidRPr="00CC3C69">
        <w:rPr>
          <w:b/>
          <w:bCs/>
          <w:u w:val="single"/>
        </w:rPr>
        <w:t>PROF. AMY L. WAX’S GRIEVANCE AGAINST DEAN RUGER</w:t>
      </w:r>
    </w:p>
    <w:p w14:paraId="1A64223A" w14:textId="700FEA61" w:rsidR="00AC53C5" w:rsidRDefault="00DB7D1C" w:rsidP="00AC53C5">
      <w:pPr>
        <w:spacing w:after="0" w:line="240" w:lineRule="auto"/>
        <w:ind w:left="4320"/>
      </w:pPr>
      <w:r>
        <w:tab/>
      </w:r>
    </w:p>
    <w:p w14:paraId="0E81D135" w14:textId="4F7037A9" w:rsidR="00AC53C5" w:rsidRDefault="00AC53C5" w:rsidP="00AC53C5">
      <w:pPr>
        <w:spacing w:after="0" w:line="240" w:lineRule="auto"/>
        <w:ind w:left="4320"/>
      </w:pPr>
    </w:p>
    <w:p w14:paraId="1F1426F6" w14:textId="632779AA" w:rsidR="003B61F7" w:rsidRDefault="003B61F7" w:rsidP="00AC53C5">
      <w:pPr>
        <w:spacing w:after="0" w:line="240" w:lineRule="auto"/>
        <w:ind w:left="4320"/>
      </w:pPr>
    </w:p>
    <w:p w14:paraId="7C7367D7" w14:textId="72639152" w:rsidR="003B61F7" w:rsidRDefault="003B61F7" w:rsidP="00AC53C5">
      <w:pPr>
        <w:spacing w:after="0" w:line="240" w:lineRule="auto"/>
        <w:ind w:left="4320"/>
      </w:pPr>
    </w:p>
    <w:p w14:paraId="70CAFE7B" w14:textId="3691B317" w:rsidR="003B61F7" w:rsidRDefault="003B61F7" w:rsidP="00AC53C5">
      <w:pPr>
        <w:spacing w:after="0" w:line="240" w:lineRule="auto"/>
        <w:ind w:left="4320"/>
      </w:pPr>
    </w:p>
    <w:p w14:paraId="0E903D52" w14:textId="4E8D1C99" w:rsidR="003B61F7" w:rsidRDefault="003B61F7" w:rsidP="00AC53C5">
      <w:pPr>
        <w:spacing w:after="0" w:line="240" w:lineRule="auto"/>
        <w:ind w:left="4320"/>
      </w:pPr>
    </w:p>
    <w:p w14:paraId="168F0110" w14:textId="0728705F" w:rsidR="003B61F7" w:rsidRDefault="003B61F7" w:rsidP="00AC53C5">
      <w:pPr>
        <w:spacing w:after="0" w:line="240" w:lineRule="auto"/>
        <w:ind w:left="4320"/>
      </w:pPr>
    </w:p>
    <w:p w14:paraId="356BB0C6" w14:textId="7F69619C" w:rsidR="003B61F7" w:rsidRDefault="003B61F7" w:rsidP="00AC53C5">
      <w:pPr>
        <w:spacing w:after="0" w:line="240" w:lineRule="auto"/>
        <w:ind w:left="4320"/>
      </w:pPr>
    </w:p>
    <w:p w14:paraId="08D29B08" w14:textId="1292310A" w:rsidR="003B61F7" w:rsidRDefault="003B61F7" w:rsidP="00AC53C5">
      <w:pPr>
        <w:spacing w:after="0" w:line="240" w:lineRule="auto"/>
        <w:ind w:left="4320"/>
      </w:pPr>
    </w:p>
    <w:p w14:paraId="0D7009C7" w14:textId="1E33D32A" w:rsidR="003B61F7" w:rsidRDefault="003B61F7" w:rsidP="00AC53C5">
      <w:pPr>
        <w:spacing w:after="0" w:line="240" w:lineRule="auto"/>
        <w:ind w:left="4320"/>
      </w:pPr>
    </w:p>
    <w:p w14:paraId="4538AAC1" w14:textId="29FB864E" w:rsidR="003B61F7" w:rsidRDefault="003B61F7" w:rsidP="00AC53C5">
      <w:pPr>
        <w:spacing w:after="0" w:line="240" w:lineRule="auto"/>
        <w:ind w:left="4320"/>
      </w:pPr>
    </w:p>
    <w:p w14:paraId="315C3029" w14:textId="38B055DC" w:rsidR="003B61F7" w:rsidRDefault="003B61F7" w:rsidP="00AC53C5">
      <w:pPr>
        <w:spacing w:after="0" w:line="240" w:lineRule="auto"/>
        <w:ind w:left="4320"/>
      </w:pPr>
    </w:p>
    <w:p w14:paraId="5FDA9EE7" w14:textId="77777777" w:rsidR="003B61F7" w:rsidRDefault="003B61F7" w:rsidP="00AC53C5">
      <w:pPr>
        <w:spacing w:after="0" w:line="240" w:lineRule="auto"/>
        <w:ind w:left="4320"/>
      </w:pPr>
    </w:p>
    <w:p w14:paraId="2C518393" w14:textId="224D78B5" w:rsidR="00AC53C5" w:rsidRDefault="00AC53C5" w:rsidP="003B61F7">
      <w:pPr>
        <w:spacing w:after="0" w:line="240" w:lineRule="auto"/>
        <w:jc w:val="center"/>
      </w:pPr>
      <w:r>
        <w:t>David J. Shapiro</w:t>
      </w:r>
    </w:p>
    <w:p w14:paraId="55DCADE0" w14:textId="2D9F805A" w:rsidR="00AC53C5" w:rsidRDefault="00AC53C5" w:rsidP="003B61F7">
      <w:pPr>
        <w:spacing w:after="0" w:line="240" w:lineRule="auto"/>
        <w:jc w:val="center"/>
      </w:pPr>
      <w:r>
        <w:t>SHAPIRO LITIGATION GROUP PLLC</w:t>
      </w:r>
    </w:p>
    <w:p w14:paraId="0E074052" w14:textId="7B9B4189" w:rsidR="00AC53C5" w:rsidRDefault="00AC53C5" w:rsidP="003B61F7">
      <w:pPr>
        <w:spacing w:after="0" w:line="240" w:lineRule="auto"/>
        <w:jc w:val="center"/>
      </w:pPr>
      <w:r>
        <w:t>1460 Broadway, Suite 7019</w:t>
      </w:r>
    </w:p>
    <w:p w14:paraId="473B4A61" w14:textId="77777777" w:rsidR="00AC53C5" w:rsidRDefault="00AC53C5" w:rsidP="003B61F7">
      <w:pPr>
        <w:spacing w:after="0" w:line="240" w:lineRule="auto"/>
        <w:jc w:val="center"/>
      </w:pPr>
      <w:r>
        <w:t>New York, New York 10036</w:t>
      </w:r>
    </w:p>
    <w:p w14:paraId="48A134BE" w14:textId="77777777" w:rsidR="00AC53C5" w:rsidRDefault="00AC53C5" w:rsidP="003B61F7">
      <w:pPr>
        <w:spacing w:after="0" w:line="240" w:lineRule="auto"/>
        <w:jc w:val="center"/>
      </w:pPr>
      <w:r>
        <w:t>dshapiro@shapirojuris.com</w:t>
      </w:r>
    </w:p>
    <w:p w14:paraId="6B713E21" w14:textId="0E2E1CBC" w:rsidR="00AC53C5" w:rsidRDefault="00AC53C5" w:rsidP="003B61F7">
      <w:pPr>
        <w:spacing w:after="0" w:line="240" w:lineRule="auto"/>
        <w:jc w:val="center"/>
      </w:pPr>
      <w:r>
        <w:t>Office:  (212) 265-2870</w:t>
      </w:r>
    </w:p>
    <w:p w14:paraId="72696169" w14:textId="77777777" w:rsidR="00AC53C5" w:rsidRDefault="00AC53C5" w:rsidP="003B61F7">
      <w:pPr>
        <w:spacing w:after="0" w:line="240" w:lineRule="auto"/>
        <w:jc w:val="center"/>
      </w:pPr>
      <w:r>
        <w:t>Fax:  (917) 210-3236</w:t>
      </w:r>
    </w:p>
    <w:p w14:paraId="4FCAE8DD" w14:textId="77777777" w:rsidR="00AC53C5" w:rsidRDefault="00AC53C5" w:rsidP="003B61F7">
      <w:pPr>
        <w:spacing w:after="0" w:line="240" w:lineRule="auto"/>
        <w:ind w:left="4320"/>
        <w:jc w:val="center"/>
      </w:pPr>
    </w:p>
    <w:p w14:paraId="36543988" w14:textId="77777777" w:rsidR="00AC53C5" w:rsidRPr="000132B3" w:rsidRDefault="00AC53C5" w:rsidP="003B61F7">
      <w:pPr>
        <w:jc w:val="center"/>
      </w:pPr>
      <w:r w:rsidRPr="009531AC">
        <w:rPr>
          <w:i/>
        </w:rPr>
        <w:t>Attorneys for</w:t>
      </w:r>
      <w:r>
        <w:rPr>
          <w:i/>
        </w:rPr>
        <w:t xml:space="preserve"> Grievant Prof. Amy L. Wax</w:t>
      </w:r>
    </w:p>
    <w:p w14:paraId="35663CFD" w14:textId="72B6A99A" w:rsidR="00CC3C69" w:rsidRDefault="00AC53C5" w:rsidP="006F0821">
      <w:r>
        <w:t>January 16, 2023</w:t>
      </w:r>
    </w:p>
    <w:p w14:paraId="39A69331" w14:textId="77777777" w:rsidR="00D4052D" w:rsidRDefault="00D4052D">
      <w:pPr>
        <w:spacing w:after="0" w:line="240" w:lineRule="auto"/>
        <w:sectPr w:rsidR="00D4052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1453AB0E" w14:textId="47C96553" w:rsidR="00CC3C69" w:rsidRDefault="00CC3C69">
      <w:pPr>
        <w:spacing w:after="0" w:line="240" w:lineRule="auto"/>
      </w:pPr>
    </w:p>
    <w:sdt>
      <w:sdtPr>
        <w:rPr>
          <w:rFonts w:ascii="Times New Roman" w:eastAsiaTheme="minorHAnsi" w:hAnsi="Times New Roman" w:cs="Times New Roman"/>
          <w:color w:val="auto"/>
          <w:sz w:val="24"/>
          <w:szCs w:val="24"/>
        </w:rPr>
        <w:id w:val="-1274242620"/>
        <w:docPartObj>
          <w:docPartGallery w:val="Table of Contents"/>
          <w:docPartUnique/>
        </w:docPartObj>
      </w:sdtPr>
      <w:sdtEndPr>
        <w:rPr>
          <w:b/>
          <w:bCs/>
          <w:noProof/>
        </w:rPr>
      </w:sdtEndPr>
      <w:sdtContent>
        <w:p w14:paraId="627140E3" w14:textId="19D75569" w:rsidR="00CC3C69" w:rsidRPr="00C213D6" w:rsidRDefault="00CC3C69" w:rsidP="00C213D6">
          <w:pPr>
            <w:pStyle w:val="TOCHeading"/>
            <w:spacing w:before="0" w:after="120" w:line="240" w:lineRule="auto"/>
            <w:jc w:val="center"/>
            <w:rPr>
              <w:rFonts w:ascii="Times New Roman" w:hAnsi="Times New Roman" w:cs="Times New Roman"/>
              <w:color w:val="auto"/>
              <w:sz w:val="24"/>
              <w:szCs w:val="24"/>
              <w:u w:val="single"/>
            </w:rPr>
          </w:pPr>
          <w:r w:rsidRPr="00C213D6">
            <w:rPr>
              <w:rFonts w:ascii="Times New Roman" w:hAnsi="Times New Roman" w:cs="Times New Roman"/>
              <w:color w:val="auto"/>
              <w:sz w:val="24"/>
              <w:szCs w:val="24"/>
              <w:u w:val="single"/>
            </w:rPr>
            <w:t>Table Of Contents</w:t>
          </w:r>
        </w:p>
        <w:p w14:paraId="4640FCDC" w14:textId="02290CC1" w:rsidR="00A14828" w:rsidRPr="00AC53C5" w:rsidRDefault="00CC3C69" w:rsidP="00AC53C5">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24755371" w:history="1">
            <w:r w:rsidR="00C213D6" w:rsidRPr="00AC53C5">
              <w:rPr>
                <w:rStyle w:val="Hyperlink"/>
                <w:noProof/>
                <w:color w:val="auto"/>
                <w:u w:val="none"/>
              </w:rPr>
              <w:t>PRELIMINARY STATEMENT</w:t>
            </w:r>
            <w:r w:rsidR="00A14828" w:rsidRPr="00AC53C5">
              <w:rPr>
                <w:noProof/>
                <w:webHidden/>
              </w:rPr>
              <w:tab/>
            </w:r>
            <w:r w:rsidR="00A14828" w:rsidRPr="00AC53C5">
              <w:rPr>
                <w:noProof/>
                <w:webHidden/>
              </w:rPr>
              <w:fldChar w:fldCharType="begin"/>
            </w:r>
            <w:r w:rsidR="00A14828" w:rsidRPr="00AC53C5">
              <w:rPr>
                <w:noProof/>
                <w:webHidden/>
              </w:rPr>
              <w:instrText xml:space="preserve"> PAGEREF _Toc124755371 \h </w:instrText>
            </w:r>
            <w:r w:rsidR="00A14828" w:rsidRPr="00AC53C5">
              <w:rPr>
                <w:noProof/>
                <w:webHidden/>
              </w:rPr>
            </w:r>
            <w:r w:rsidR="00A14828" w:rsidRPr="00AC53C5">
              <w:rPr>
                <w:noProof/>
                <w:webHidden/>
              </w:rPr>
              <w:fldChar w:fldCharType="separate"/>
            </w:r>
            <w:r w:rsidR="00D4052D">
              <w:rPr>
                <w:noProof/>
                <w:webHidden/>
              </w:rPr>
              <w:t>1</w:t>
            </w:r>
            <w:r w:rsidR="00A14828" w:rsidRPr="00AC53C5">
              <w:rPr>
                <w:noProof/>
                <w:webHidden/>
              </w:rPr>
              <w:fldChar w:fldCharType="end"/>
            </w:r>
          </w:hyperlink>
        </w:p>
        <w:p w14:paraId="46315A3D" w14:textId="19C1EF3E" w:rsidR="00A14828" w:rsidRPr="00AC53C5" w:rsidRDefault="00AC53C5" w:rsidP="00AC53C5">
          <w:pPr>
            <w:pStyle w:val="TOC1"/>
            <w:rPr>
              <w:rFonts w:asciiTheme="minorHAnsi" w:eastAsiaTheme="minorEastAsia" w:hAnsiTheme="minorHAnsi" w:cstheme="minorBidi"/>
              <w:noProof/>
              <w:sz w:val="22"/>
              <w:szCs w:val="22"/>
            </w:rPr>
          </w:pPr>
          <w:r>
            <w:rPr>
              <w:rStyle w:val="Hyperlink"/>
              <w:noProof/>
              <w:color w:val="auto"/>
              <w:u w:val="none"/>
            </w:rPr>
            <w:t xml:space="preserve">I.  </w:t>
          </w:r>
          <w:hyperlink w:anchor="_Toc124755372" w:history="1">
            <w:r w:rsidR="00A14828" w:rsidRPr="00AC53C5">
              <w:rPr>
                <w:rStyle w:val="Hyperlink"/>
                <w:noProof/>
                <w:color w:val="auto"/>
                <w:u w:val="none"/>
              </w:rPr>
              <w:t>Basis Of The Grievance And Why It Should Be Decided By The Commission.</w:t>
            </w:r>
            <w:r w:rsidR="00A14828" w:rsidRPr="00AC53C5">
              <w:rPr>
                <w:noProof/>
                <w:webHidden/>
              </w:rPr>
              <w:fldChar w:fldCharType="begin"/>
            </w:r>
            <w:r w:rsidR="00A14828" w:rsidRPr="00AC53C5">
              <w:rPr>
                <w:noProof/>
                <w:webHidden/>
              </w:rPr>
              <w:instrText xml:space="preserve"> PAGEREF _Toc124755372 \h </w:instrText>
            </w:r>
            <w:r w:rsidR="00A14828" w:rsidRPr="00AC53C5">
              <w:rPr>
                <w:noProof/>
                <w:webHidden/>
              </w:rPr>
            </w:r>
            <w:r w:rsidR="00A14828" w:rsidRPr="00AC53C5">
              <w:rPr>
                <w:noProof/>
                <w:webHidden/>
              </w:rPr>
              <w:fldChar w:fldCharType="separate"/>
            </w:r>
            <w:r w:rsidR="00D4052D">
              <w:rPr>
                <w:noProof/>
                <w:webHidden/>
              </w:rPr>
              <w:t>3</w:t>
            </w:r>
            <w:r w:rsidR="00A14828" w:rsidRPr="00AC53C5">
              <w:rPr>
                <w:noProof/>
                <w:webHidden/>
              </w:rPr>
              <w:fldChar w:fldCharType="end"/>
            </w:r>
          </w:hyperlink>
        </w:p>
        <w:p w14:paraId="6E5FB996" w14:textId="6D534039" w:rsidR="00A14828" w:rsidRPr="00AC53C5" w:rsidRDefault="00AC53C5" w:rsidP="00AC53C5">
          <w:pPr>
            <w:pStyle w:val="TOC1"/>
            <w:rPr>
              <w:rFonts w:asciiTheme="minorHAnsi" w:eastAsiaTheme="minorEastAsia" w:hAnsiTheme="minorHAnsi" w:cstheme="minorBidi"/>
              <w:noProof/>
              <w:sz w:val="22"/>
              <w:szCs w:val="22"/>
            </w:rPr>
          </w:pPr>
          <w:r>
            <w:rPr>
              <w:rStyle w:val="Hyperlink"/>
              <w:noProof/>
              <w:color w:val="auto"/>
              <w:u w:val="none"/>
            </w:rPr>
            <w:t xml:space="preserve">II. </w:t>
          </w:r>
          <w:hyperlink w:anchor="_Toc124755373" w:history="1">
            <w:r w:rsidR="00A14828" w:rsidRPr="00AC53C5">
              <w:rPr>
                <w:rStyle w:val="Hyperlink"/>
                <w:noProof/>
                <w:color w:val="auto"/>
                <w:u w:val="none"/>
              </w:rPr>
              <w:t>The Charges Brought By Dean Ruger Attacking Prof. Wax’s Guaranteed Academic Freedom</w:t>
            </w:r>
            <w:r>
              <w:rPr>
                <w:rStyle w:val="Hyperlink"/>
                <w:noProof/>
                <w:color w:val="auto"/>
                <w:u w:val="none"/>
              </w:rPr>
              <w:t xml:space="preserve"> O</w:t>
            </w:r>
            <w:r w:rsidR="00A14828" w:rsidRPr="00AC53C5">
              <w:rPr>
                <w:rStyle w:val="Hyperlink"/>
                <w:noProof/>
                <w:color w:val="auto"/>
                <w:u w:val="none"/>
              </w:rPr>
              <w:t>f Expression Belong Before The Commission And Are Baseless And Meritless.</w:t>
            </w:r>
            <w:r w:rsidR="00A14828" w:rsidRPr="00AC53C5">
              <w:rPr>
                <w:noProof/>
                <w:webHidden/>
              </w:rPr>
              <w:tab/>
            </w:r>
            <w:r w:rsidR="00A14828" w:rsidRPr="00AC53C5">
              <w:rPr>
                <w:noProof/>
                <w:webHidden/>
              </w:rPr>
              <w:fldChar w:fldCharType="begin"/>
            </w:r>
            <w:r w:rsidR="00A14828" w:rsidRPr="00AC53C5">
              <w:rPr>
                <w:noProof/>
                <w:webHidden/>
              </w:rPr>
              <w:instrText xml:space="preserve"> PAGEREF _Toc124755373 \h </w:instrText>
            </w:r>
            <w:r w:rsidR="00A14828" w:rsidRPr="00AC53C5">
              <w:rPr>
                <w:noProof/>
                <w:webHidden/>
              </w:rPr>
            </w:r>
            <w:r w:rsidR="00A14828" w:rsidRPr="00AC53C5">
              <w:rPr>
                <w:noProof/>
                <w:webHidden/>
              </w:rPr>
              <w:fldChar w:fldCharType="separate"/>
            </w:r>
            <w:r w:rsidR="00D4052D">
              <w:rPr>
                <w:noProof/>
                <w:webHidden/>
              </w:rPr>
              <w:t>8</w:t>
            </w:r>
            <w:r w:rsidR="00A14828" w:rsidRPr="00AC53C5">
              <w:rPr>
                <w:noProof/>
                <w:webHidden/>
              </w:rPr>
              <w:fldChar w:fldCharType="end"/>
            </w:r>
          </w:hyperlink>
        </w:p>
        <w:p w14:paraId="695FB11E" w14:textId="2CF48E3E" w:rsidR="00A14828" w:rsidRPr="00AC53C5" w:rsidRDefault="00A14828" w:rsidP="00AC53C5">
          <w:pPr>
            <w:pStyle w:val="TOC2"/>
            <w:tabs>
              <w:tab w:val="left" w:pos="880"/>
              <w:tab w:val="right" w:leader="dot" w:pos="9350"/>
            </w:tabs>
            <w:spacing w:after="120" w:line="240" w:lineRule="auto"/>
            <w:rPr>
              <w:rFonts w:asciiTheme="minorHAnsi" w:eastAsiaTheme="minorEastAsia" w:hAnsiTheme="minorHAnsi" w:cstheme="minorBidi"/>
              <w:noProof/>
              <w:sz w:val="22"/>
              <w:szCs w:val="22"/>
            </w:rPr>
          </w:pPr>
          <w:r w:rsidRPr="00AC53C5">
            <w:rPr>
              <w:rStyle w:val="Hyperlink"/>
              <w:noProof/>
              <w:color w:val="auto"/>
              <w:u w:val="none"/>
            </w:rPr>
            <w:tab/>
          </w:r>
          <w:hyperlink w:anchor="_Toc124755374" w:history="1">
            <w:r w:rsidRPr="00AC53C5">
              <w:rPr>
                <w:rStyle w:val="Hyperlink"/>
                <w:noProof/>
                <w:color w:val="auto"/>
                <w:u w:val="none"/>
              </w:rPr>
              <w:t>A.  Teaching Materials And Guests.</w:t>
            </w:r>
            <w:r w:rsidRPr="00AC53C5">
              <w:rPr>
                <w:noProof/>
                <w:webHidden/>
              </w:rPr>
              <w:tab/>
            </w:r>
            <w:r w:rsidRPr="00AC53C5">
              <w:rPr>
                <w:noProof/>
                <w:webHidden/>
              </w:rPr>
              <w:fldChar w:fldCharType="begin"/>
            </w:r>
            <w:r w:rsidRPr="00AC53C5">
              <w:rPr>
                <w:noProof/>
                <w:webHidden/>
              </w:rPr>
              <w:instrText xml:space="preserve"> PAGEREF _Toc124755374 \h </w:instrText>
            </w:r>
            <w:r w:rsidRPr="00AC53C5">
              <w:rPr>
                <w:noProof/>
                <w:webHidden/>
              </w:rPr>
            </w:r>
            <w:r w:rsidRPr="00AC53C5">
              <w:rPr>
                <w:noProof/>
                <w:webHidden/>
              </w:rPr>
              <w:fldChar w:fldCharType="separate"/>
            </w:r>
            <w:r w:rsidR="00D4052D">
              <w:rPr>
                <w:noProof/>
                <w:webHidden/>
              </w:rPr>
              <w:t>9</w:t>
            </w:r>
            <w:r w:rsidRPr="00AC53C5">
              <w:rPr>
                <w:noProof/>
                <w:webHidden/>
              </w:rPr>
              <w:fldChar w:fldCharType="end"/>
            </w:r>
          </w:hyperlink>
        </w:p>
        <w:p w14:paraId="171AAF08" w14:textId="05DBB906" w:rsidR="00A14828" w:rsidRPr="00AC53C5" w:rsidRDefault="00A14828" w:rsidP="00AC53C5">
          <w:pPr>
            <w:pStyle w:val="TOC2"/>
            <w:tabs>
              <w:tab w:val="left" w:pos="880"/>
              <w:tab w:val="right" w:leader="dot" w:pos="9350"/>
            </w:tabs>
            <w:spacing w:after="120" w:line="240" w:lineRule="auto"/>
            <w:rPr>
              <w:rFonts w:asciiTheme="minorHAnsi" w:eastAsiaTheme="minorEastAsia" w:hAnsiTheme="minorHAnsi" w:cstheme="minorBidi"/>
              <w:noProof/>
              <w:sz w:val="22"/>
              <w:szCs w:val="22"/>
            </w:rPr>
          </w:pPr>
          <w:r w:rsidRPr="00AC53C5">
            <w:rPr>
              <w:rStyle w:val="Hyperlink"/>
              <w:noProof/>
              <w:color w:val="auto"/>
              <w:u w:val="none"/>
            </w:rPr>
            <w:tab/>
          </w:r>
          <w:hyperlink w:anchor="_Toc124755375" w:history="1">
            <w:r w:rsidRPr="00AC53C5">
              <w:rPr>
                <w:rStyle w:val="Hyperlink"/>
                <w:noProof/>
                <w:color w:val="auto"/>
                <w:u w:val="none"/>
              </w:rPr>
              <w:t>B.  The Impact Of Affirmative Action On The Law School.</w:t>
            </w:r>
            <w:r w:rsidRPr="00AC53C5">
              <w:rPr>
                <w:noProof/>
                <w:webHidden/>
              </w:rPr>
              <w:tab/>
            </w:r>
            <w:r w:rsidRPr="00AC53C5">
              <w:rPr>
                <w:noProof/>
                <w:webHidden/>
              </w:rPr>
              <w:fldChar w:fldCharType="begin"/>
            </w:r>
            <w:r w:rsidRPr="00AC53C5">
              <w:rPr>
                <w:noProof/>
                <w:webHidden/>
              </w:rPr>
              <w:instrText xml:space="preserve"> PAGEREF _Toc124755375 \h </w:instrText>
            </w:r>
            <w:r w:rsidRPr="00AC53C5">
              <w:rPr>
                <w:noProof/>
                <w:webHidden/>
              </w:rPr>
            </w:r>
            <w:r w:rsidRPr="00AC53C5">
              <w:rPr>
                <w:noProof/>
                <w:webHidden/>
              </w:rPr>
              <w:fldChar w:fldCharType="separate"/>
            </w:r>
            <w:r w:rsidR="00D4052D">
              <w:rPr>
                <w:noProof/>
                <w:webHidden/>
              </w:rPr>
              <w:t>11</w:t>
            </w:r>
            <w:r w:rsidRPr="00AC53C5">
              <w:rPr>
                <w:noProof/>
                <w:webHidden/>
              </w:rPr>
              <w:fldChar w:fldCharType="end"/>
            </w:r>
          </w:hyperlink>
        </w:p>
        <w:p w14:paraId="75B9854B" w14:textId="49A40EB3" w:rsidR="00A14828" w:rsidRPr="00AC53C5" w:rsidRDefault="00A14828" w:rsidP="00AC53C5">
          <w:pPr>
            <w:pStyle w:val="TOC2"/>
            <w:tabs>
              <w:tab w:val="left" w:pos="880"/>
              <w:tab w:val="right" w:leader="dot" w:pos="9350"/>
            </w:tabs>
            <w:spacing w:after="120" w:line="240" w:lineRule="auto"/>
            <w:rPr>
              <w:rFonts w:asciiTheme="minorHAnsi" w:eastAsiaTheme="minorEastAsia" w:hAnsiTheme="minorHAnsi" w:cstheme="minorBidi"/>
              <w:noProof/>
              <w:sz w:val="22"/>
              <w:szCs w:val="22"/>
            </w:rPr>
          </w:pPr>
          <w:r w:rsidRPr="00AC53C5">
            <w:rPr>
              <w:rStyle w:val="Hyperlink"/>
              <w:noProof/>
              <w:color w:val="auto"/>
              <w:u w:val="none"/>
            </w:rPr>
            <w:tab/>
          </w:r>
          <w:hyperlink w:anchor="_Toc124755376" w:history="1">
            <w:r w:rsidRPr="00AC53C5">
              <w:rPr>
                <w:rStyle w:val="Hyperlink"/>
                <w:noProof/>
                <w:color w:val="auto"/>
                <w:u w:val="none"/>
              </w:rPr>
              <w:t>C.</w:t>
            </w:r>
            <w:r w:rsidRPr="00AC53C5">
              <w:rPr>
                <w:rFonts w:asciiTheme="minorHAnsi" w:eastAsiaTheme="minorEastAsia" w:hAnsiTheme="minorHAnsi" w:cstheme="minorBidi"/>
                <w:noProof/>
                <w:sz w:val="22"/>
                <w:szCs w:val="22"/>
              </w:rPr>
              <w:t xml:space="preserve">  </w:t>
            </w:r>
            <w:r w:rsidRPr="00AC53C5">
              <w:rPr>
                <w:rStyle w:val="Hyperlink"/>
                <w:noProof/>
                <w:color w:val="auto"/>
                <w:u w:val="none"/>
              </w:rPr>
              <w:t>Observations Of U.S. Minority Groups.</w:t>
            </w:r>
            <w:r w:rsidRPr="00AC53C5">
              <w:rPr>
                <w:noProof/>
                <w:webHidden/>
              </w:rPr>
              <w:tab/>
            </w:r>
            <w:r w:rsidRPr="00AC53C5">
              <w:rPr>
                <w:noProof/>
                <w:webHidden/>
              </w:rPr>
              <w:fldChar w:fldCharType="begin"/>
            </w:r>
            <w:r w:rsidRPr="00AC53C5">
              <w:rPr>
                <w:noProof/>
                <w:webHidden/>
              </w:rPr>
              <w:instrText xml:space="preserve"> PAGEREF _Toc124755376 \h </w:instrText>
            </w:r>
            <w:r w:rsidRPr="00AC53C5">
              <w:rPr>
                <w:noProof/>
                <w:webHidden/>
              </w:rPr>
            </w:r>
            <w:r w:rsidRPr="00AC53C5">
              <w:rPr>
                <w:noProof/>
                <w:webHidden/>
              </w:rPr>
              <w:fldChar w:fldCharType="separate"/>
            </w:r>
            <w:r w:rsidR="00D4052D">
              <w:rPr>
                <w:noProof/>
                <w:webHidden/>
              </w:rPr>
              <w:t>12</w:t>
            </w:r>
            <w:r w:rsidRPr="00AC53C5">
              <w:rPr>
                <w:noProof/>
                <w:webHidden/>
              </w:rPr>
              <w:fldChar w:fldCharType="end"/>
            </w:r>
          </w:hyperlink>
        </w:p>
        <w:p w14:paraId="693B81B5" w14:textId="3BDA8C20" w:rsidR="00A14828" w:rsidRPr="00AC53C5" w:rsidRDefault="00A14828" w:rsidP="00AC53C5">
          <w:pPr>
            <w:pStyle w:val="TOC2"/>
            <w:tabs>
              <w:tab w:val="left" w:pos="880"/>
              <w:tab w:val="right" w:leader="dot" w:pos="9350"/>
            </w:tabs>
            <w:spacing w:after="120" w:line="240" w:lineRule="auto"/>
            <w:rPr>
              <w:rFonts w:asciiTheme="minorHAnsi" w:eastAsiaTheme="minorEastAsia" w:hAnsiTheme="minorHAnsi" w:cstheme="minorBidi"/>
              <w:noProof/>
              <w:sz w:val="22"/>
              <w:szCs w:val="22"/>
            </w:rPr>
          </w:pPr>
          <w:r w:rsidRPr="00AC53C5">
            <w:rPr>
              <w:rStyle w:val="Hyperlink"/>
              <w:noProof/>
              <w:color w:val="auto"/>
              <w:u w:val="none"/>
            </w:rPr>
            <w:tab/>
          </w:r>
          <w:hyperlink w:anchor="_Toc124755377" w:history="1">
            <w:r w:rsidRPr="00AC53C5">
              <w:rPr>
                <w:rStyle w:val="Hyperlink"/>
                <w:noProof/>
                <w:color w:val="auto"/>
                <w:u w:val="none"/>
              </w:rPr>
              <w:t>D.  Misuse Of The Rodriguez Report.</w:t>
            </w:r>
            <w:r w:rsidRPr="00AC53C5">
              <w:rPr>
                <w:noProof/>
                <w:webHidden/>
              </w:rPr>
              <w:tab/>
            </w:r>
            <w:r w:rsidRPr="00AC53C5">
              <w:rPr>
                <w:noProof/>
                <w:webHidden/>
              </w:rPr>
              <w:fldChar w:fldCharType="begin"/>
            </w:r>
            <w:r w:rsidRPr="00AC53C5">
              <w:rPr>
                <w:noProof/>
                <w:webHidden/>
              </w:rPr>
              <w:instrText xml:space="preserve"> PAGEREF _Toc124755377 \h </w:instrText>
            </w:r>
            <w:r w:rsidRPr="00AC53C5">
              <w:rPr>
                <w:noProof/>
                <w:webHidden/>
              </w:rPr>
            </w:r>
            <w:r w:rsidRPr="00AC53C5">
              <w:rPr>
                <w:noProof/>
                <w:webHidden/>
              </w:rPr>
              <w:fldChar w:fldCharType="separate"/>
            </w:r>
            <w:r w:rsidR="00D4052D">
              <w:rPr>
                <w:noProof/>
                <w:webHidden/>
              </w:rPr>
              <w:t>14</w:t>
            </w:r>
            <w:r w:rsidRPr="00AC53C5">
              <w:rPr>
                <w:noProof/>
                <w:webHidden/>
              </w:rPr>
              <w:fldChar w:fldCharType="end"/>
            </w:r>
          </w:hyperlink>
        </w:p>
        <w:p w14:paraId="2AEBF983" w14:textId="5B751E57" w:rsidR="00A14828" w:rsidRPr="00AC53C5" w:rsidRDefault="00A14828" w:rsidP="00AC53C5">
          <w:pPr>
            <w:pStyle w:val="TOC2"/>
            <w:tabs>
              <w:tab w:val="left" w:pos="880"/>
              <w:tab w:val="right" w:leader="dot" w:pos="9350"/>
            </w:tabs>
            <w:spacing w:after="120" w:line="240" w:lineRule="auto"/>
            <w:rPr>
              <w:rFonts w:asciiTheme="minorHAnsi" w:eastAsiaTheme="minorEastAsia" w:hAnsiTheme="minorHAnsi" w:cstheme="minorBidi"/>
              <w:noProof/>
              <w:sz w:val="22"/>
              <w:szCs w:val="22"/>
            </w:rPr>
          </w:pPr>
          <w:r w:rsidRPr="00AC53C5">
            <w:rPr>
              <w:rStyle w:val="Hyperlink"/>
              <w:noProof/>
              <w:color w:val="auto"/>
              <w:u w:val="none"/>
            </w:rPr>
            <w:tab/>
          </w:r>
          <w:hyperlink w:anchor="_Toc124755378" w:history="1">
            <w:r w:rsidRPr="00AC53C5">
              <w:rPr>
                <w:rStyle w:val="Hyperlink"/>
                <w:noProof/>
                <w:color w:val="auto"/>
                <w:u w:val="none"/>
              </w:rPr>
              <w:t>E.</w:t>
            </w:r>
            <w:r w:rsidRPr="00AC53C5">
              <w:rPr>
                <w:rFonts w:asciiTheme="minorHAnsi" w:eastAsiaTheme="minorEastAsia" w:hAnsiTheme="minorHAnsi" w:cstheme="minorBidi"/>
                <w:noProof/>
                <w:sz w:val="22"/>
                <w:szCs w:val="22"/>
              </w:rPr>
              <w:t xml:space="preserve">  </w:t>
            </w:r>
            <w:r w:rsidRPr="00AC53C5">
              <w:rPr>
                <w:rStyle w:val="Hyperlink"/>
                <w:noProof/>
                <w:color w:val="auto"/>
                <w:u w:val="none"/>
              </w:rPr>
              <w:t>Selective Prosecution.</w:t>
            </w:r>
            <w:r w:rsidRPr="00AC53C5">
              <w:rPr>
                <w:noProof/>
                <w:webHidden/>
              </w:rPr>
              <w:tab/>
            </w:r>
            <w:r w:rsidRPr="00AC53C5">
              <w:rPr>
                <w:noProof/>
                <w:webHidden/>
              </w:rPr>
              <w:fldChar w:fldCharType="begin"/>
            </w:r>
            <w:r w:rsidRPr="00AC53C5">
              <w:rPr>
                <w:noProof/>
                <w:webHidden/>
              </w:rPr>
              <w:instrText xml:space="preserve"> PAGEREF _Toc124755378 \h </w:instrText>
            </w:r>
            <w:r w:rsidRPr="00AC53C5">
              <w:rPr>
                <w:noProof/>
                <w:webHidden/>
              </w:rPr>
            </w:r>
            <w:r w:rsidRPr="00AC53C5">
              <w:rPr>
                <w:noProof/>
                <w:webHidden/>
              </w:rPr>
              <w:fldChar w:fldCharType="separate"/>
            </w:r>
            <w:r w:rsidR="00D4052D">
              <w:rPr>
                <w:noProof/>
                <w:webHidden/>
              </w:rPr>
              <w:t>17</w:t>
            </w:r>
            <w:r w:rsidRPr="00AC53C5">
              <w:rPr>
                <w:noProof/>
                <w:webHidden/>
              </w:rPr>
              <w:fldChar w:fldCharType="end"/>
            </w:r>
          </w:hyperlink>
        </w:p>
        <w:p w14:paraId="39CFDAA0" w14:textId="757133A4" w:rsidR="00A14828" w:rsidRPr="00AC53C5" w:rsidRDefault="006E1681" w:rsidP="00AC53C5">
          <w:pPr>
            <w:pStyle w:val="TOC1"/>
            <w:rPr>
              <w:rFonts w:asciiTheme="minorHAnsi" w:eastAsiaTheme="minorEastAsia" w:hAnsiTheme="minorHAnsi" w:cstheme="minorBidi"/>
              <w:noProof/>
              <w:sz w:val="22"/>
              <w:szCs w:val="22"/>
            </w:rPr>
          </w:pPr>
          <w:hyperlink w:anchor="_Toc124755379" w:history="1">
            <w:r w:rsidR="00A14828" w:rsidRPr="00AC53C5">
              <w:rPr>
                <w:rStyle w:val="Hyperlink"/>
                <w:noProof/>
                <w:color w:val="auto"/>
                <w:u w:val="none"/>
              </w:rPr>
              <w:t>III.  Faculty Grievance Procedure:  What Happens Next.</w:t>
            </w:r>
            <w:r w:rsidR="00A14828" w:rsidRPr="00AC53C5">
              <w:rPr>
                <w:noProof/>
                <w:webHidden/>
              </w:rPr>
              <w:tab/>
            </w:r>
            <w:r w:rsidR="00A14828" w:rsidRPr="00AC53C5">
              <w:rPr>
                <w:noProof/>
                <w:webHidden/>
              </w:rPr>
              <w:fldChar w:fldCharType="begin"/>
            </w:r>
            <w:r w:rsidR="00A14828" w:rsidRPr="00AC53C5">
              <w:rPr>
                <w:noProof/>
                <w:webHidden/>
              </w:rPr>
              <w:instrText xml:space="preserve"> PAGEREF _Toc124755379 \h </w:instrText>
            </w:r>
            <w:r w:rsidR="00A14828" w:rsidRPr="00AC53C5">
              <w:rPr>
                <w:noProof/>
                <w:webHidden/>
              </w:rPr>
            </w:r>
            <w:r w:rsidR="00A14828" w:rsidRPr="00AC53C5">
              <w:rPr>
                <w:noProof/>
                <w:webHidden/>
              </w:rPr>
              <w:fldChar w:fldCharType="separate"/>
            </w:r>
            <w:r w:rsidR="00D4052D">
              <w:rPr>
                <w:noProof/>
                <w:webHidden/>
              </w:rPr>
              <w:t>19</w:t>
            </w:r>
            <w:r w:rsidR="00A14828" w:rsidRPr="00AC53C5">
              <w:rPr>
                <w:noProof/>
                <w:webHidden/>
              </w:rPr>
              <w:fldChar w:fldCharType="end"/>
            </w:r>
          </w:hyperlink>
        </w:p>
        <w:p w14:paraId="76030343" w14:textId="5F5C714C" w:rsidR="00A14828" w:rsidRPr="00AC53C5" w:rsidRDefault="006E1681" w:rsidP="00AC53C5">
          <w:pPr>
            <w:pStyle w:val="TOC1"/>
            <w:rPr>
              <w:rFonts w:asciiTheme="minorHAnsi" w:eastAsiaTheme="minorEastAsia" w:hAnsiTheme="minorHAnsi" w:cstheme="minorBidi"/>
              <w:noProof/>
              <w:sz w:val="22"/>
              <w:szCs w:val="22"/>
            </w:rPr>
          </w:pPr>
          <w:hyperlink w:anchor="_Toc124755380" w:history="1">
            <w:r w:rsidR="00C213D6" w:rsidRPr="00AC53C5">
              <w:rPr>
                <w:rStyle w:val="Hyperlink"/>
                <w:noProof/>
                <w:color w:val="auto"/>
                <w:u w:val="none"/>
              </w:rPr>
              <w:t>CONCLUSION AND RELIEF REQUESTED</w:t>
            </w:r>
            <w:r w:rsidR="00C213D6" w:rsidRPr="00AC53C5">
              <w:rPr>
                <w:noProof/>
                <w:webHidden/>
              </w:rPr>
              <w:tab/>
            </w:r>
            <w:r w:rsidR="00A14828" w:rsidRPr="00AC53C5">
              <w:rPr>
                <w:noProof/>
                <w:webHidden/>
              </w:rPr>
              <w:fldChar w:fldCharType="begin"/>
            </w:r>
            <w:r w:rsidR="00A14828" w:rsidRPr="00AC53C5">
              <w:rPr>
                <w:noProof/>
                <w:webHidden/>
              </w:rPr>
              <w:instrText xml:space="preserve"> PAGEREF _Toc124755380 \h </w:instrText>
            </w:r>
            <w:r w:rsidR="00A14828" w:rsidRPr="00AC53C5">
              <w:rPr>
                <w:noProof/>
                <w:webHidden/>
              </w:rPr>
            </w:r>
            <w:r w:rsidR="00A14828" w:rsidRPr="00AC53C5">
              <w:rPr>
                <w:noProof/>
                <w:webHidden/>
              </w:rPr>
              <w:fldChar w:fldCharType="separate"/>
            </w:r>
            <w:r w:rsidR="00D4052D">
              <w:rPr>
                <w:noProof/>
                <w:webHidden/>
              </w:rPr>
              <w:t>21</w:t>
            </w:r>
            <w:r w:rsidR="00A14828" w:rsidRPr="00AC53C5">
              <w:rPr>
                <w:noProof/>
                <w:webHidden/>
              </w:rPr>
              <w:fldChar w:fldCharType="end"/>
            </w:r>
          </w:hyperlink>
        </w:p>
        <w:p w14:paraId="2DD31E28" w14:textId="6CA12B0E" w:rsidR="00CC3C69" w:rsidRDefault="00CC3C69" w:rsidP="00CC3C69">
          <w:pPr>
            <w:spacing w:after="120" w:line="240" w:lineRule="auto"/>
          </w:pPr>
          <w:r>
            <w:rPr>
              <w:b/>
              <w:bCs/>
              <w:noProof/>
            </w:rPr>
            <w:fldChar w:fldCharType="end"/>
          </w:r>
        </w:p>
      </w:sdtContent>
    </w:sdt>
    <w:p w14:paraId="42B49673" w14:textId="77777777" w:rsidR="00D4052D" w:rsidRDefault="00D4052D" w:rsidP="00D4052D"/>
    <w:p w14:paraId="762ED5C2" w14:textId="3ECC67BD" w:rsidR="00D4052D" w:rsidRPr="00D4052D" w:rsidRDefault="00D4052D" w:rsidP="00D4052D">
      <w:pPr>
        <w:sectPr w:rsidR="00D4052D" w:rsidRPr="00D4052D" w:rsidSect="00D4052D">
          <w:pgSz w:w="12240" w:h="15840"/>
          <w:pgMar w:top="1440" w:right="1440" w:bottom="1440" w:left="1440" w:header="720" w:footer="720" w:gutter="0"/>
          <w:pgNumType w:fmt="lowerRoman" w:start="1"/>
          <w:cols w:space="720"/>
          <w:docGrid w:linePitch="360"/>
        </w:sectPr>
      </w:pPr>
    </w:p>
    <w:p w14:paraId="65FBA6A1" w14:textId="2E3E88B5" w:rsidR="00DB7D1C" w:rsidRPr="00833614" w:rsidRDefault="00DB7D1C" w:rsidP="00CC3C69">
      <w:pPr>
        <w:ind w:firstLine="720"/>
      </w:pPr>
      <w:r>
        <w:lastRenderedPageBreak/>
        <w:t>Prof. Amy L. Wax</w:t>
      </w:r>
      <w:r w:rsidR="00686014">
        <w:t xml:space="preserve"> (“Prof. Wax” or the “Grievant”)</w:t>
      </w:r>
      <w:r>
        <w:t>, by and through her attorneys, the Shapiro Litigation Group PLLC, respectfully files this grievance against Dean T</w:t>
      </w:r>
      <w:r w:rsidR="00BE5EDA">
        <w:t xml:space="preserve">ed </w:t>
      </w:r>
      <w:r>
        <w:t>Ruger</w:t>
      </w:r>
      <w:r w:rsidR="00D14D67">
        <w:t xml:space="preserve"> (the “Grievance”)</w:t>
      </w:r>
      <w:r w:rsidR="00F333D2">
        <w:t>.</w:t>
      </w:r>
      <w:r>
        <w:t xml:space="preserve"> </w:t>
      </w:r>
    </w:p>
    <w:p w14:paraId="69BD63EA" w14:textId="038B5F94" w:rsidR="00833614" w:rsidRDefault="008445DB" w:rsidP="00112205">
      <w:pPr>
        <w:pStyle w:val="Title"/>
      </w:pPr>
      <w:bookmarkStart w:id="0" w:name="_Toc124755371"/>
      <w:r>
        <w:t>preliminary statement</w:t>
      </w:r>
      <w:bookmarkEnd w:id="0"/>
    </w:p>
    <w:p w14:paraId="40E02EE5" w14:textId="342D002C" w:rsidR="00F333D2" w:rsidRDefault="00112205" w:rsidP="0001712D">
      <w:r>
        <w:tab/>
        <w:t xml:space="preserve">On March 2, 2022, </w:t>
      </w:r>
      <w:r w:rsidR="00BE5EDA">
        <w:t xml:space="preserve">Ted </w:t>
      </w:r>
      <w:r>
        <w:t xml:space="preserve">Ruger, Dean of the University of Pennsylvania Law </w:t>
      </w:r>
      <w:r w:rsidR="00D747CE">
        <w:t>S</w:t>
      </w:r>
      <w:r>
        <w:t>chool</w:t>
      </w:r>
      <w:r w:rsidR="00664F32">
        <w:t>,</w:t>
      </w:r>
      <w:r>
        <w:t xml:space="preserve"> sent Prof. Wax a “written description of charges” which he said he intended to file with the Faculty Senate.  The charges are all based on </w:t>
      </w:r>
      <w:r w:rsidR="009172DF">
        <w:t xml:space="preserve">statements </w:t>
      </w:r>
      <w:r>
        <w:t>Prof. Wax</w:t>
      </w:r>
      <w:r w:rsidR="00351FE4">
        <w:t xml:space="preserve"> is alleged to have</w:t>
      </w:r>
      <w:r>
        <w:t xml:space="preserve"> </w:t>
      </w:r>
      <w:r w:rsidR="009172DF">
        <w:t xml:space="preserve">made </w:t>
      </w:r>
      <w:r>
        <w:t>inside and outside the classroom</w:t>
      </w:r>
      <w:r w:rsidR="009172DF">
        <w:t xml:space="preserve"> related to her academic </w:t>
      </w:r>
      <w:r w:rsidR="00492A0C">
        <w:t>role</w:t>
      </w:r>
      <w:r>
        <w:t xml:space="preserve">; materials she assigned in her class; </w:t>
      </w:r>
      <w:r w:rsidR="00D74BBC">
        <w:t xml:space="preserve">her invitation to </w:t>
      </w:r>
      <w:r w:rsidR="0001712D">
        <w:t xml:space="preserve">a guest speaker for that class; </w:t>
      </w:r>
      <w:r w:rsidR="00351FE4">
        <w:t xml:space="preserve">statements in her </w:t>
      </w:r>
      <w:r w:rsidR="00D74BBC">
        <w:t xml:space="preserve">various </w:t>
      </w:r>
      <w:r w:rsidR="00351FE4">
        <w:t>writings</w:t>
      </w:r>
      <w:r w:rsidR="00BE5EDA">
        <w:t>;</w:t>
      </w:r>
      <w:r w:rsidR="00351FE4">
        <w:t xml:space="preserve"> </w:t>
      </w:r>
      <w:r>
        <w:t xml:space="preserve">and opinions she has </w:t>
      </w:r>
      <w:r w:rsidR="00984279">
        <w:t>expressed</w:t>
      </w:r>
      <w:r w:rsidR="00351FE4">
        <w:t xml:space="preserve"> in her academic capacity and in media appearances.</w:t>
      </w:r>
      <w:r>
        <w:t xml:space="preserve">  Dean Ruger filed the charges with the state</w:t>
      </w:r>
      <w:r w:rsidR="0001712D">
        <w:t>d</w:t>
      </w:r>
      <w:r>
        <w:t xml:space="preserve"> goal of </w:t>
      </w:r>
      <w:r w:rsidR="00351FE4">
        <w:t>seeking “major sanctions” against Prof</w:t>
      </w:r>
      <w:r w:rsidR="004913BD">
        <w:t xml:space="preserve">. </w:t>
      </w:r>
      <w:r w:rsidR="00351FE4">
        <w:t>Wax for allege</w:t>
      </w:r>
      <w:r w:rsidR="00D74BBC">
        <w:t>d “misconduct.”  Such sanctions potentially include</w:t>
      </w:r>
      <w:r w:rsidR="00351FE4">
        <w:t xml:space="preserve"> </w:t>
      </w:r>
      <w:r w:rsidR="007061CF">
        <w:t xml:space="preserve">revoking </w:t>
      </w:r>
      <w:r>
        <w:t xml:space="preserve">Prof. Wax’s tenure and </w:t>
      </w:r>
      <w:r w:rsidR="007061CF">
        <w:t xml:space="preserve">terminating </w:t>
      </w:r>
      <w:r>
        <w:t>her employment with the University.</w:t>
      </w:r>
      <w:r w:rsidR="0001712D">
        <w:t xml:space="preserve">  His charges, therefore, are a direct attack on the academic freedoms guaranteed to Prof. Wax via various University and University-adopted standards, guidelines, policies, and rules related to academic freedom and tenure.</w:t>
      </w:r>
      <w:r w:rsidR="00BE5EDA">
        <w:rPr>
          <w:rStyle w:val="FootnoteReference"/>
        </w:rPr>
        <w:footnoteReference w:id="1"/>
      </w:r>
      <w:r w:rsidR="0001712D">
        <w:t xml:space="preserve"> </w:t>
      </w:r>
    </w:p>
    <w:p w14:paraId="3338139D" w14:textId="5821B01C" w:rsidR="0001712D" w:rsidRDefault="0081212B" w:rsidP="00F333D2">
      <w:pPr>
        <w:ind w:firstLine="720"/>
      </w:pPr>
      <w:r>
        <w:t>Dean Ruger has also taken other action against Prof</w:t>
      </w:r>
      <w:r w:rsidR="004913BD">
        <w:t xml:space="preserve">. </w:t>
      </w:r>
      <w:r>
        <w:t xml:space="preserve">Wax in an attempt to </w:t>
      </w:r>
      <w:r w:rsidR="00F8046D">
        <w:t xml:space="preserve">stifle </w:t>
      </w:r>
      <w:r>
        <w:t xml:space="preserve">her </w:t>
      </w:r>
      <w:r w:rsidR="00440EA0">
        <w:t xml:space="preserve">expression </w:t>
      </w:r>
      <w:r>
        <w:t>and undermine her standing as a Penn professor and academic</w:t>
      </w:r>
      <w:r w:rsidR="00B758CB">
        <w:t xml:space="preserve">.  </w:t>
      </w:r>
      <w:r w:rsidR="002769C0" w:rsidRPr="002769C0">
        <w:t>He has condemned her repeatedly and publicly for her positions and opinions</w:t>
      </w:r>
      <w:r w:rsidR="002769C0">
        <w:t xml:space="preserve"> instead</w:t>
      </w:r>
      <w:r w:rsidR="003B52F5">
        <w:t xml:space="preserve"> of </w:t>
      </w:r>
      <w:r w:rsidR="007E67D2">
        <w:t xml:space="preserve">responding </w:t>
      </w:r>
      <w:r w:rsidR="00001DAD">
        <w:t xml:space="preserve">in a manner </w:t>
      </w:r>
      <w:r w:rsidR="00564206">
        <w:t xml:space="preserve">consistent with the </w:t>
      </w:r>
      <w:r w:rsidR="00054218">
        <w:t>Dean’s and the Law School’s</w:t>
      </w:r>
      <w:r w:rsidR="00564206">
        <w:t xml:space="preserve"> </w:t>
      </w:r>
      <w:r w:rsidR="00054218">
        <w:t xml:space="preserve">professed </w:t>
      </w:r>
      <w:r w:rsidR="00564206">
        <w:t>respect for a diversity of viewpoints</w:t>
      </w:r>
      <w:r w:rsidR="007A4F12">
        <w:t>, which would include</w:t>
      </w:r>
      <w:r w:rsidR="00664F32">
        <w:t xml:space="preserve"> </w:t>
      </w:r>
      <w:r w:rsidR="00564206">
        <w:t>attempting</w:t>
      </w:r>
      <w:r w:rsidR="00B758CB">
        <w:t xml:space="preserve"> to refute her assertions </w:t>
      </w:r>
      <w:r w:rsidR="00A116C4">
        <w:t>with reasoned</w:t>
      </w:r>
      <w:r w:rsidR="00A900D7">
        <w:t>, civil</w:t>
      </w:r>
      <w:r w:rsidR="00A116C4">
        <w:t xml:space="preserve"> debate, facts, and argument</w:t>
      </w:r>
      <w:r w:rsidR="00B758CB">
        <w:t>.  He has</w:t>
      </w:r>
      <w:r w:rsidR="004913BD">
        <w:t>, instead,</w:t>
      </w:r>
      <w:r w:rsidR="00B758CB">
        <w:t xml:space="preserve"> engaged in</w:t>
      </w:r>
      <w:r w:rsidR="00A116C4">
        <w:t xml:space="preserve"> </w:t>
      </w:r>
      <w:r w:rsidR="000D3F03">
        <w:t xml:space="preserve">careless name-calling </w:t>
      </w:r>
      <w:r w:rsidR="00A116C4">
        <w:t xml:space="preserve">and labeling </w:t>
      </w:r>
      <w:r w:rsidR="002E57D9">
        <w:t>using</w:t>
      </w:r>
      <w:r w:rsidR="00A116C4">
        <w:t xml:space="preserve"> scurrilous terms </w:t>
      </w:r>
      <w:r w:rsidR="00A116C4">
        <w:lastRenderedPageBreak/>
        <w:t xml:space="preserve">he refuses to define.  He </w:t>
      </w:r>
      <w:r>
        <w:t>stripp</w:t>
      </w:r>
      <w:r w:rsidR="00A116C4">
        <w:t>ed</w:t>
      </w:r>
      <w:r w:rsidR="006102E9">
        <w:t xml:space="preserve"> </w:t>
      </w:r>
      <w:r>
        <w:t xml:space="preserve">her of </w:t>
      </w:r>
      <w:r w:rsidR="0003321E">
        <w:t xml:space="preserve">her </w:t>
      </w:r>
      <w:r w:rsidR="007006DB">
        <w:t>first-year</w:t>
      </w:r>
      <w:r>
        <w:t xml:space="preserve"> teaching responsibilities </w:t>
      </w:r>
      <w:r w:rsidR="00A116C4">
        <w:t xml:space="preserve">and all committee assignments within the Law School </w:t>
      </w:r>
      <w:r>
        <w:t>without valid justification</w:t>
      </w:r>
      <w:r w:rsidR="00B730C4">
        <w:t xml:space="preserve"> based on unfounded allegations of “bias</w:t>
      </w:r>
      <w:r w:rsidR="00E61BF0">
        <w:t>.”  He deliberately</w:t>
      </w:r>
      <w:r>
        <w:t xml:space="preserve"> creat</w:t>
      </w:r>
      <w:r w:rsidR="00E61BF0">
        <w:t xml:space="preserve">ed </w:t>
      </w:r>
      <w:r>
        <w:t xml:space="preserve">courses </w:t>
      </w:r>
      <w:r w:rsidR="00E61BF0">
        <w:t>on the same topics as</w:t>
      </w:r>
      <w:r>
        <w:t xml:space="preserve"> the ones she teaches</w:t>
      </w:r>
      <w:r w:rsidR="00E61BF0">
        <w:t xml:space="preserve"> in order to discourage students</w:t>
      </w:r>
      <w:r>
        <w:t xml:space="preserve"> from enrolling in her classes.  </w:t>
      </w:r>
      <w:r w:rsidR="006102E9">
        <w:t>And now, b</w:t>
      </w:r>
      <w:r w:rsidR="00C24897">
        <w:t xml:space="preserve">y bringing </w:t>
      </w:r>
      <w:r w:rsidR="00F879D8">
        <w:t xml:space="preserve">formal </w:t>
      </w:r>
      <w:r w:rsidR="00C24897">
        <w:t xml:space="preserve">charges </w:t>
      </w:r>
      <w:r w:rsidR="00781250">
        <w:t>and taking other action</w:t>
      </w:r>
      <w:r>
        <w:t>s</w:t>
      </w:r>
      <w:r w:rsidR="00781250">
        <w:t xml:space="preserve"> against her</w:t>
      </w:r>
      <w:r w:rsidR="00C24897">
        <w:t xml:space="preserve">, </w:t>
      </w:r>
      <w:r w:rsidR="00290BE4">
        <w:t xml:space="preserve">Dean Ruger </w:t>
      </w:r>
      <w:r w:rsidR="00B730C4">
        <w:t xml:space="preserve">has grievously harmed </w:t>
      </w:r>
      <w:r w:rsidR="006102E9">
        <w:t xml:space="preserve">Prof. Wax </w:t>
      </w:r>
      <w:r>
        <w:t xml:space="preserve">by </w:t>
      </w:r>
      <w:r w:rsidR="00BC4A99">
        <w:t>seeking to</w:t>
      </w:r>
      <w:r w:rsidR="00DD7D71">
        <w:t xml:space="preserve"> punish her for deviating from </w:t>
      </w:r>
      <w:r w:rsidR="00E57145">
        <w:t xml:space="preserve">a narrow </w:t>
      </w:r>
      <w:r w:rsidR="0084196C">
        <w:t>set of acceptable</w:t>
      </w:r>
      <w:r w:rsidR="00E57145">
        <w:t xml:space="preserve"> opinion</w:t>
      </w:r>
      <w:r w:rsidR="002E7AB8">
        <w:t>s</w:t>
      </w:r>
      <w:r w:rsidR="00E57145">
        <w:t xml:space="preserve">, thus effectively imposing a rigid </w:t>
      </w:r>
      <w:r w:rsidR="002E7AB8">
        <w:t>orthodoxy</w:t>
      </w:r>
      <w:r w:rsidR="00E57145">
        <w:t xml:space="preserve"> </w:t>
      </w:r>
      <w:r w:rsidR="00AE2A7B">
        <w:t xml:space="preserve">of permissible </w:t>
      </w:r>
      <w:r w:rsidR="00883F36">
        <w:t xml:space="preserve">speech and </w:t>
      </w:r>
      <w:r w:rsidR="00D9337A">
        <w:t>expression</w:t>
      </w:r>
      <w:r w:rsidR="00E57145">
        <w:t xml:space="preserve"> at the Law School</w:t>
      </w:r>
      <w:r w:rsidR="00DD7D71">
        <w:t>.</w:t>
      </w:r>
      <w:r>
        <w:t xml:space="preserve"> </w:t>
      </w:r>
      <w:r w:rsidR="00AE105C">
        <w:t xml:space="preserve"> </w:t>
      </w:r>
      <w:r w:rsidR="00290BE4">
        <w:t xml:space="preserve">In so doing, </w:t>
      </w:r>
      <w:r w:rsidR="006102E9">
        <w:t xml:space="preserve">Dean </w:t>
      </w:r>
      <w:r w:rsidR="00290BE4" w:rsidRPr="00290BE4">
        <w:t xml:space="preserve">Ruger </w:t>
      </w:r>
      <w:r w:rsidR="006102E9">
        <w:t xml:space="preserve">is </w:t>
      </w:r>
      <w:r w:rsidR="00290BE4" w:rsidRPr="00290BE4">
        <w:t>undermin</w:t>
      </w:r>
      <w:r w:rsidR="006102E9">
        <w:t xml:space="preserve">ing </w:t>
      </w:r>
      <w:r w:rsidR="00290BE4" w:rsidRPr="00290BE4">
        <w:t xml:space="preserve">the proper role, mission, and character of the </w:t>
      </w:r>
      <w:r w:rsidR="00DF6488">
        <w:t>U</w:t>
      </w:r>
      <w:r w:rsidR="00290BE4" w:rsidRPr="00290BE4">
        <w:t xml:space="preserve">niversity </w:t>
      </w:r>
      <w:r w:rsidR="002A68A1">
        <w:t xml:space="preserve">and the Law School </w:t>
      </w:r>
      <w:r w:rsidR="00290BE4" w:rsidRPr="00290BE4">
        <w:t>as place</w:t>
      </w:r>
      <w:r w:rsidR="002A68A1">
        <w:t>s</w:t>
      </w:r>
      <w:r w:rsidR="00290BE4" w:rsidRPr="00290BE4">
        <w:t xml:space="preserve"> for reasoned </w:t>
      </w:r>
      <w:r w:rsidR="00290BE4">
        <w:t xml:space="preserve">and rigorous </w:t>
      </w:r>
      <w:r w:rsidR="00290BE4" w:rsidRPr="00290BE4">
        <w:t>debate</w:t>
      </w:r>
      <w:r w:rsidR="00290BE4">
        <w:t xml:space="preserve"> of the widest possible range of ideas and opinions.</w:t>
      </w:r>
      <w:r w:rsidR="00AE105C">
        <w:t xml:space="preserve">  </w:t>
      </w:r>
      <w:r w:rsidR="00251706">
        <w:t xml:space="preserve">And he </w:t>
      </w:r>
      <w:r w:rsidR="00375130">
        <w:t xml:space="preserve">is </w:t>
      </w:r>
      <w:r w:rsidR="00251706">
        <w:t>grievously harm</w:t>
      </w:r>
      <w:r w:rsidR="00375130">
        <w:t xml:space="preserve">ing </w:t>
      </w:r>
      <w:r w:rsidR="00251706">
        <w:t xml:space="preserve">students by </w:t>
      </w:r>
      <w:r w:rsidR="002E57D9">
        <w:t xml:space="preserve">depriving them of opportunities to </w:t>
      </w:r>
      <w:r w:rsidR="004540FB">
        <w:t xml:space="preserve">learn about and </w:t>
      </w:r>
      <w:r w:rsidR="002E57D9">
        <w:t xml:space="preserve">consider </w:t>
      </w:r>
      <w:r w:rsidR="00D10321">
        <w:t xml:space="preserve">many </w:t>
      </w:r>
      <w:r w:rsidR="002E57D9">
        <w:t xml:space="preserve">alternative points of view, </w:t>
      </w:r>
      <w:r w:rsidR="00D10321">
        <w:t xml:space="preserve">including those unpopular on campus </w:t>
      </w:r>
      <w:r w:rsidR="002E6C64">
        <w:t xml:space="preserve">but prevalent in society as a whole, </w:t>
      </w:r>
      <w:r w:rsidR="002E57D9">
        <w:t xml:space="preserve">which </w:t>
      </w:r>
      <w:r w:rsidR="00202F8E">
        <w:t xml:space="preserve">are </w:t>
      </w:r>
      <w:r w:rsidR="002E57D9">
        <w:t>essential and</w:t>
      </w:r>
      <w:r w:rsidR="00251706">
        <w:t xml:space="preserve"> necessary to their proper education as </w:t>
      </w:r>
      <w:r w:rsidR="00D02EC9">
        <w:t xml:space="preserve">citizens and as </w:t>
      </w:r>
      <w:r w:rsidR="00251706">
        <w:t xml:space="preserve">lawyers in </w:t>
      </w:r>
      <w:r w:rsidR="00C02DFC">
        <w:t>a system that relies on</w:t>
      </w:r>
      <w:r w:rsidR="001D5247">
        <w:t xml:space="preserve"> an</w:t>
      </w:r>
      <w:r w:rsidR="00C02DFC">
        <w:t xml:space="preserve"> </w:t>
      </w:r>
      <w:r w:rsidR="00251706">
        <w:t xml:space="preserve">adversary </w:t>
      </w:r>
      <w:r w:rsidR="00C02DFC">
        <w:t>process</w:t>
      </w:r>
      <w:r w:rsidR="00A21FF5">
        <w:t>.  It is imperative that action be taken through the grievance process to correct these harms.</w:t>
      </w:r>
    </w:p>
    <w:p w14:paraId="3A9E132E" w14:textId="4FA1FD68" w:rsidR="00533ECC" w:rsidRDefault="00290BE4" w:rsidP="0001712D">
      <w:pPr>
        <w:ind w:firstLine="720"/>
      </w:pPr>
      <w:r>
        <w:t xml:space="preserve">By </w:t>
      </w:r>
      <w:r w:rsidR="00375130">
        <w:t xml:space="preserve">using </w:t>
      </w:r>
      <w:r w:rsidR="0001712D">
        <w:t xml:space="preserve">the </w:t>
      </w:r>
      <w:r w:rsidR="00375130">
        <w:t xml:space="preserve">Faculty Handbook’s </w:t>
      </w:r>
      <w:r w:rsidR="0001712D">
        <w:t xml:space="preserve">sanctions process to </w:t>
      </w:r>
      <w:r w:rsidR="004267C6">
        <w:t>punish</w:t>
      </w:r>
      <w:r w:rsidR="0001712D">
        <w:t xml:space="preserve"> Prof. Wax </w:t>
      </w:r>
      <w:r w:rsidR="004267C6">
        <w:t xml:space="preserve">for </w:t>
      </w:r>
      <w:r w:rsidR="0001712D">
        <w:t xml:space="preserve">her </w:t>
      </w:r>
      <w:r w:rsidR="00440EA0">
        <w:t xml:space="preserve">academic viewpoints, expression, and opinions, </w:t>
      </w:r>
      <w:r w:rsidR="00375130">
        <w:t xml:space="preserve">Dean </w:t>
      </w:r>
      <w:r>
        <w:t xml:space="preserve">Ruger </w:t>
      </w:r>
      <w:r w:rsidR="00375130">
        <w:t xml:space="preserve">is </w:t>
      </w:r>
      <w:r>
        <w:t>not only violat</w:t>
      </w:r>
      <w:r w:rsidR="00375130">
        <w:t xml:space="preserve">ing </w:t>
      </w:r>
      <w:r>
        <w:t xml:space="preserve">basic principles and </w:t>
      </w:r>
      <w:r w:rsidR="004267C6">
        <w:t>core academic rights of freedom of expression</w:t>
      </w:r>
      <w:r>
        <w:t xml:space="preserve">, but he </w:t>
      </w:r>
      <w:r w:rsidR="00375130">
        <w:t xml:space="preserve">is </w:t>
      </w:r>
      <w:r>
        <w:t>also engag</w:t>
      </w:r>
      <w:r w:rsidR="00375130">
        <w:t xml:space="preserve">ing </w:t>
      </w:r>
      <w:r>
        <w:t>in an egregious and</w:t>
      </w:r>
      <w:r w:rsidR="004267C6">
        <w:t xml:space="preserve"> inappropriate </w:t>
      </w:r>
      <w:r>
        <w:t>mis</w:t>
      </w:r>
      <w:r w:rsidR="004267C6">
        <w:t xml:space="preserve">use of those procedures.  </w:t>
      </w:r>
      <w:r w:rsidR="008744F5">
        <w:t xml:space="preserve">By </w:t>
      </w:r>
      <w:r>
        <w:t>bringing charges against Prof</w:t>
      </w:r>
      <w:r w:rsidR="003C4FE8">
        <w:t xml:space="preserve">. </w:t>
      </w:r>
      <w:r>
        <w:t xml:space="preserve">Wax </w:t>
      </w:r>
      <w:r w:rsidR="003F5612">
        <w:t>through the</w:t>
      </w:r>
      <w:r>
        <w:t xml:space="preserve"> Handbook</w:t>
      </w:r>
      <w:r w:rsidR="008744F5">
        <w:t>’s</w:t>
      </w:r>
      <w:r>
        <w:t xml:space="preserve"> </w:t>
      </w:r>
      <w:r w:rsidR="00C712AD">
        <w:t xml:space="preserve">Faculty Senate </w:t>
      </w:r>
      <w:r w:rsidR="00F83351">
        <w:t xml:space="preserve">procedures for </w:t>
      </w:r>
      <w:r w:rsidR="00917DCF">
        <w:t xml:space="preserve">punishing </w:t>
      </w:r>
      <w:r w:rsidR="00F83351">
        <w:t>a</w:t>
      </w:r>
      <w:r w:rsidR="00A41822">
        <w:t>lleged “</w:t>
      </w:r>
      <w:r w:rsidR="002D785E">
        <w:t>behavioral</w:t>
      </w:r>
      <w:r w:rsidR="00DC1FE7">
        <w:t xml:space="preserve">” </w:t>
      </w:r>
      <w:r w:rsidR="002D785E">
        <w:t>violations</w:t>
      </w:r>
      <w:r w:rsidR="003C4FE8">
        <w:t>,</w:t>
      </w:r>
      <w:r w:rsidR="002D785E">
        <w:t xml:space="preserve"> </w:t>
      </w:r>
      <w:r>
        <w:t xml:space="preserve">and </w:t>
      </w:r>
      <w:r w:rsidR="00375130">
        <w:t xml:space="preserve">by using those </w:t>
      </w:r>
      <w:r w:rsidR="008F4712">
        <w:t>charges to attack Prof</w:t>
      </w:r>
      <w:r w:rsidR="003C4FE8">
        <w:t xml:space="preserve">. </w:t>
      </w:r>
      <w:r w:rsidR="008F4712">
        <w:t xml:space="preserve">Wax’s freedom of </w:t>
      </w:r>
      <w:r w:rsidR="00BC14E8">
        <w:t xml:space="preserve">inquiry </w:t>
      </w:r>
      <w:r w:rsidR="008F4712">
        <w:t>and tenure protections</w:t>
      </w:r>
      <w:r>
        <w:t>,</w:t>
      </w:r>
      <w:r w:rsidR="00375130">
        <w:t xml:space="preserve"> Dean Ruger is </w:t>
      </w:r>
      <w:r w:rsidR="00533ECC">
        <w:t>abus</w:t>
      </w:r>
      <w:r w:rsidR="00375130">
        <w:t xml:space="preserve">ing his </w:t>
      </w:r>
      <w:r w:rsidR="004267C6">
        <w:t xml:space="preserve">position and his responsibility to protect the </w:t>
      </w:r>
      <w:r w:rsidR="00636661">
        <w:t>prerogatives and guarantees for</w:t>
      </w:r>
      <w:r w:rsidR="004267C6">
        <w:t xml:space="preserve"> </w:t>
      </w:r>
      <w:r w:rsidR="00E90592">
        <w:t xml:space="preserve">Law School </w:t>
      </w:r>
      <w:r w:rsidR="004267C6">
        <w:t>faculty</w:t>
      </w:r>
      <w:r w:rsidR="00636661">
        <w:t xml:space="preserve">, and especially for </w:t>
      </w:r>
      <w:r w:rsidR="00F34A41">
        <w:t>p</w:t>
      </w:r>
      <w:r w:rsidR="00636661">
        <w:t>rofessors with tenure like Prof</w:t>
      </w:r>
      <w:r w:rsidR="003C4FE8">
        <w:t xml:space="preserve">. </w:t>
      </w:r>
      <w:r w:rsidR="00636661">
        <w:t>Wax</w:t>
      </w:r>
      <w:r w:rsidR="004267C6">
        <w:t xml:space="preserve">. </w:t>
      </w:r>
      <w:r w:rsidR="00073B3A">
        <w:t xml:space="preserve"> </w:t>
      </w:r>
    </w:p>
    <w:p w14:paraId="0B48E81A" w14:textId="6629D9B1" w:rsidR="00416A40" w:rsidRPr="0001712D" w:rsidRDefault="002056C3" w:rsidP="004A1FB6">
      <w:pPr>
        <w:ind w:firstLine="720"/>
      </w:pPr>
      <w:r>
        <w:lastRenderedPageBreak/>
        <w:t>Dean Ruger’s charges are an attack on Prof. Wax’s academic freedoms</w:t>
      </w:r>
      <w:r w:rsidR="00EC60D8">
        <w:t xml:space="preserve"> and freedom of expression</w:t>
      </w:r>
      <w:r>
        <w:t>.  And, a</w:t>
      </w:r>
      <w:r w:rsidR="004267C6">
        <w:t>s</w:t>
      </w:r>
      <w:r w:rsidR="0001712D">
        <w:t xml:space="preserve"> the University policies make clear</w:t>
      </w:r>
      <w:r w:rsidR="00416A40">
        <w:t>,</w:t>
      </w:r>
      <w:r w:rsidR="0001712D">
        <w:t xml:space="preserve"> </w:t>
      </w:r>
      <w:r w:rsidR="0001712D">
        <w:rPr>
          <w:i/>
          <w:iCs/>
        </w:rPr>
        <w:t>only</w:t>
      </w:r>
      <w:r w:rsidR="0001712D">
        <w:t xml:space="preserve"> the </w:t>
      </w:r>
      <w:r w:rsidR="0001712D" w:rsidRPr="0001712D">
        <w:t>Faculty Grievance Commission</w:t>
      </w:r>
      <w:r w:rsidR="0001712D">
        <w:t xml:space="preserve"> (the “Commission”) and the Senate Faculty Committee on Academic Freedom </w:t>
      </w:r>
      <w:r w:rsidR="000F55C3">
        <w:t>and Responsibility (“SCAFR”) have jurisdiction over claims related to academic freedom.</w:t>
      </w:r>
      <w:r w:rsidR="004A1FB6">
        <w:t xml:space="preserve">  </w:t>
      </w:r>
      <w:r w:rsidR="00416A40">
        <w:t xml:space="preserve">Prof. Wax therefore files this </w:t>
      </w:r>
      <w:r w:rsidR="006233D5">
        <w:t>G</w:t>
      </w:r>
      <w:r w:rsidR="00416A40">
        <w:t xml:space="preserve">rievance against Dean Ruger to block his use </w:t>
      </w:r>
      <w:r w:rsidR="006233D5">
        <w:t xml:space="preserve">of </w:t>
      </w:r>
      <w:r w:rsidR="00416A40">
        <w:t xml:space="preserve">the </w:t>
      </w:r>
      <w:r w:rsidR="006233D5">
        <w:t xml:space="preserve">Handbook’s </w:t>
      </w:r>
      <w:r w:rsidR="00416A40">
        <w:t xml:space="preserve">sanctions procedures to crush her academic freedoms.  All issues related to his charges must be determined </w:t>
      </w:r>
      <w:r w:rsidR="003F5612">
        <w:t xml:space="preserve">exclusively </w:t>
      </w:r>
      <w:r w:rsidR="00416A40">
        <w:t>by the rules governing the Commission and SCAFR.</w:t>
      </w:r>
    </w:p>
    <w:p w14:paraId="3F927B93" w14:textId="6CD699A6" w:rsidR="009A676C" w:rsidRPr="00CF72D2" w:rsidRDefault="009A676C" w:rsidP="009A676C">
      <w:pPr>
        <w:pStyle w:val="Heading1"/>
      </w:pPr>
      <w:bookmarkStart w:id="1" w:name="_Toc124755372"/>
      <w:r w:rsidRPr="00CF72D2">
        <w:t>basis of the grievance</w:t>
      </w:r>
      <w:r w:rsidR="00CF72D2" w:rsidRPr="00CF72D2">
        <w:t xml:space="preserve"> and why it should be decided by the </w:t>
      </w:r>
      <w:r w:rsidR="00CF72D2" w:rsidRPr="00073B3A">
        <w:rPr>
          <w:u w:val="single"/>
        </w:rPr>
        <w:t>commission</w:t>
      </w:r>
      <w:r w:rsidR="00790FAA">
        <w:rPr>
          <w:u w:val="single"/>
        </w:rPr>
        <w:t>.</w:t>
      </w:r>
      <w:bookmarkEnd w:id="1"/>
      <w:r w:rsidR="00790FAA">
        <w:rPr>
          <w:u w:val="single"/>
        </w:rPr>
        <w:tab/>
      </w:r>
      <w:r w:rsidR="00790FAA">
        <w:rPr>
          <w:u w:val="single"/>
        </w:rPr>
        <w:tab/>
      </w:r>
      <w:r w:rsidR="00CF72D2" w:rsidRPr="00073B3A">
        <w:rPr>
          <w:u w:val="single"/>
        </w:rPr>
        <w:tab/>
      </w:r>
      <w:r w:rsidR="00CF72D2" w:rsidRPr="00073B3A">
        <w:rPr>
          <w:u w:val="single"/>
        </w:rPr>
        <w:tab/>
      </w:r>
      <w:r w:rsidR="00CF72D2" w:rsidRPr="00073B3A">
        <w:rPr>
          <w:u w:val="single"/>
        </w:rPr>
        <w:tab/>
      </w:r>
      <w:r w:rsidR="00CF72D2" w:rsidRPr="00073B3A">
        <w:rPr>
          <w:u w:val="single"/>
        </w:rPr>
        <w:tab/>
      </w:r>
      <w:r w:rsidR="00CF72D2" w:rsidRPr="00073B3A">
        <w:rPr>
          <w:u w:val="single"/>
        </w:rPr>
        <w:tab/>
      </w:r>
      <w:r w:rsidR="00CF72D2" w:rsidRPr="00073B3A">
        <w:rPr>
          <w:u w:val="single"/>
        </w:rPr>
        <w:tab/>
      </w:r>
      <w:r w:rsidR="00073B3A" w:rsidRPr="00073B3A">
        <w:rPr>
          <w:u w:val="single"/>
        </w:rPr>
        <w:tab/>
      </w:r>
      <w:r w:rsidR="00073B3A" w:rsidRPr="00073B3A">
        <w:rPr>
          <w:u w:val="single"/>
        </w:rPr>
        <w:tab/>
      </w:r>
    </w:p>
    <w:p w14:paraId="719B7E7B" w14:textId="138DC3B8" w:rsidR="009A676C" w:rsidRDefault="009A676C" w:rsidP="009A676C">
      <w:pPr>
        <w:ind w:firstLine="720"/>
      </w:pPr>
      <w:r>
        <w:t xml:space="preserve">Dean Ruger </w:t>
      </w:r>
      <w:r w:rsidR="007F493B">
        <w:t>and Prof</w:t>
      </w:r>
      <w:r w:rsidR="003C4FE8">
        <w:t xml:space="preserve">. </w:t>
      </w:r>
      <w:r w:rsidR="007F493B">
        <w:t xml:space="preserve">Wax clearly disagree on a host of issues related to public policy, including </w:t>
      </w:r>
      <w:r w:rsidR="008A3664">
        <w:t>the adoption and implementation of</w:t>
      </w:r>
      <w:r w:rsidR="00790FAA">
        <w:t xml:space="preserve"> </w:t>
      </w:r>
      <w:r>
        <w:t>affirmative action in higher education and at the Law School</w:t>
      </w:r>
      <w:r w:rsidR="00DA7D41">
        <w:t xml:space="preserve"> and </w:t>
      </w:r>
      <w:r w:rsidR="001920B1">
        <w:t xml:space="preserve">of “diversity, equity, and inclusion” </w:t>
      </w:r>
      <w:r w:rsidR="00266392">
        <w:t>measures in universities and society at large</w:t>
      </w:r>
      <w:r>
        <w:t xml:space="preserve">.  </w:t>
      </w:r>
      <w:r w:rsidR="007F493B">
        <w:t xml:space="preserve">Dean Ruger is aware that some students </w:t>
      </w:r>
      <w:r w:rsidR="001127EA">
        <w:t xml:space="preserve">and alumni </w:t>
      </w:r>
      <w:r w:rsidR="007F493B">
        <w:t>dislike and are disturbed by Prof</w:t>
      </w:r>
      <w:r w:rsidR="003C4FE8">
        <w:t xml:space="preserve">. </w:t>
      </w:r>
      <w:r w:rsidR="007F493B">
        <w:t xml:space="preserve">Wax’s opinions.  Instead of instructing them on the importance of preserving </w:t>
      </w:r>
      <w:r w:rsidR="00517561">
        <w:t xml:space="preserve">her </w:t>
      </w:r>
      <w:r w:rsidR="007F493B">
        <w:t xml:space="preserve">right to disagree </w:t>
      </w:r>
      <w:r w:rsidR="00D65916">
        <w:t xml:space="preserve">with them </w:t>
      </w:r>
      <w:r w:rsidR="007F493B">
        <w:t xml:space="preserve">on </w:t>
      </w:r>
      <w:r w:rsidR="00C13A5E">
        <w:t>critical issues</w:t>
      </w:r>
      <w:r w:rsidR="007F493B">
        <w:t xml:space="preserve"> without penalty, </w:t>
      </w:r>
      <w:r w:rsidR="00D65916">
        <w:t xml:space="preserve">as </w:t>
      </w:r>
      <w:r w:rsidR="0042690C">
        <w:t>he is bound</w:t>
      </w:r>
      <w:r w:rsidR="007F493B">
        <w:t xml:space="preserve"> to do</w:t>
      </w:r>
      <w:r w:rsidR="0042690C">
        <w:t xml:space="preserve"> in accordance with University commitments and policies</w:t>
      </w:r>
      <w:r w:rsidR="007F493B">
        <w:t xml:space="preserve">, Dean Ruger has </w:t>
      </w:r>
      <w:r w:rsidR="007006DB">
        <w:t xml:space="preserve">instead </w:t>
      </w:r>
      <w:r w:rsidR="007F493B">
        <w:t>given in</w:t>
      </w:r>
      <w:r w:rsidR="003061BD">
        <w:t xml:space="preserve"> </w:t>
      </w:r>
      <w:r w:rsidR="007F493B">
        <w:t xml:space="preserve">to </w:t>
      </w:r>
      <w:r w:rsidR="00305ADF">
        <w:t xml:space="preserve">a </w:t>
      </w:r>
      <w:r w:rsidR="00A735E9">
        <w:t>noisy group’s</w:t>
      </w:r>
      <w:r w:rsidR="007F493B">
        <w:t xml:space="preserve"> demands that Prof</w:t>
      </w:r>
      <w:r w:rsidR="003C4FE8">
        <w:t xml:space="preserve">. </w:t>
      </w:r>
      <w:r w:rsidR="007F493B">
        <w:t>Wax be penalized.</w:t>
      </w:r>
      <w:r w:rsidR="003F5612">
        <w:t xml:space="preserve">  </w:t>
      </w:r>
      <w:r w:rsidR="00D850C1">
        <w:t>A</w:t>
      </w:r>
      <w:r w:rsidR="003F5612">
        <w:t>ctivist students who disagree with Prof</w:t>
      </w:r>
      <w:r w:rsidR="003C4FE8">
        <w:t xml:space="preserve">. </w:t>
      </w:r>
      <w:r w:rsidR="003F5612">
        <w:t>Wax should have no effect on the Dean’s response</w:t>
      </w:r>
      <w:r w:rsidR="007B20D3">
        <w:t xml:space="preserve"> to </w:t>
      </w:r>
      <w:r w:rsidR="003C4FE8">
        <w:t xml:space="preserve">her </w:t>
      </w:r>
      <w:r w:rsidR="007B20D3">
        <w:t>opinions and statements</w:t>
      </w:r>
      <w:r w:rsidR="003F5612">
        <w:t xml:space="preserve">.  </w:t>
      </w:r>
      <w:r w:rsidR="001D0065">
        <w:t xml:space="preserve">Likewise, he should </w:t>
      </w:r>
      <w:r w:rsidR="00C220B3">
        <w:t>ignore</w:t>
      </w:r>
      <w:r w:rsidR="001D0065">
        <w:t xml:space="preserve"> </w:t>
      </w:r>
      <w:r w:rsidR="00C220B3">
        <w:t xml:space="preserve">pressure from </w:t>
      </w:r>
      <w:r w:rsidR="00D850C1">
        <w:t xml:space="preserve">a few vocal </w:t>
      </w:r>
      <w:r w:rsidR="001D0065">
        <w:t xml:space="preserve">alumni.  </w:t>
      </w:r>
      <w:r w:rsidR="003F5612">
        <w:t xml:space="preserve">He should not </w:t>
      </w:r>
      <w:r w:rsidR="00BB68A8">
        <w:t xml:space="preserve">be </w:t>
      </w:r>
      <w:r w:rsidR="003F5612">
        <w:t>placat</w:t>
      </w:r>
      <w:r w:rsidR="00BB68A8">
        <w:t xml:space="preserve">ing </w:t>
      </w:r>
      <w:r w:rsidR="003F5612">
        <w:t>or cater</w:t>
      </w:r>
      <w:r w:rsidR="00BB68A8">
        <w:t>ing</w:t>
      </w:r>
      <w:r w:rsidR="003F5612">
        <w:t xml:space="preserve"> to </w:t>
      </w:r>
      <w:r w:rsidR="007F7B92">
        <w:t>these factions</w:t>
      </w:r>
      <w:r w:rsidR="003F5612">
        <w:t xml:space="preserve"> by condemning Prof</w:t>
      </w:r>
      <w:r w:rsidR="003C4FE8">
        <w:t xml:space="preserve">. </w:t>
      </w:r>
      <w:r w:rsidR="003F5612">
        <w:t>Wax</w:t>
      </w:r>
      <w:r w:rsidR="00B4357E">
        <w:t>,</w:t>
      </w:r>
      <w:r w:rsidR="00BB68A8">
        <w:t xml:space="preserve"> attacking her academic freedoms</w:t>
      </w:r>
      <w:r w:rsidR="00B4357E">
        <w:t xml:space="preserve">, </w:t>
      </w:r>
      <w:r w:rsidR="00E53F12">
        <w:t xml:space="preserve">depriving her of teaching responsibilities and privileges, and </w:t>
      </w:r>
      <w:r w:rsidR="00B4357E">
        <w:t xml:space="preserve">filing </w:t>
      </w:r>
      <w:r w:rsidR="00E53F12">
        <w:t xml:space="preserve">formal disciplinary </w:t>
      </w:r>
      <w:r w:rsidR="00B4357E">
        <w:t>charges seeking “major sanctions” against her</w:t>
      </w:r>
      <w:r w:rsidR="003F5612">
        <w:t xml:space="preserve">.  That is not his proper role in a university that </w:t>
      </w:r>
      <w:r w:rsidR="00D16BCD">
        <w:t xml:space="preserve">avowedly </w:t>
      </w:r>
      <w:r w:rsidR="003F5612">
        <w:t xml:space="preserve">welcomes a wide range of viewpoints, and it </w:t>
      </w:r>
      <w:r w:rsidR="00D16BCD">
        <w:t xml:space="preserve">directly </w:t>
      </w:r>
      <w:r w:rsidR="003F5612">
        <w:t xml:space="preserve">undermines that mission.  Rather, he should </w:t>
      </w:r>
      <w:r w:rsidR="003C4FE8">
        <w:t xml:space="preserve">be </w:t>
      </w:r>
      <w:r w:rsidR="003F5612">
        <w:t>encourag</w:t>
      </w:r>
      <w:r w:rsidR="003C4FE8">
        <w:t xml:space="preserve">ing </w:t>
      </w:r>
      <w:r w:rsidR="003F5612">
        <w:t xml:space="preserve">students </w:t>
      </w:r>
      <w:r w:rsidR="000D3035">
        <w:lastRenderedPageBreak/>
        <w:t xml:space="preserve">and alumni </w:t>
      </w:r>
      <w:r w:rsidR="003F5612">
        <w:t>to engage in reasoned, courteous disagreement.  His failure to fulfill that role has inflicted grievous harm on Prof</w:t>
      </w:r>
      <w:r w:rsidR="009F3764">
        <w:t xml:space="preserve">. </w:t>
      </w:r>
      <w:r w:rsidR="003F5612">
        <w:t>Wax.</w:t>
      </w:r>
      <w:r w:rsidR="0038346A">
        <w:t xml:space="preserve">  It has also harmed the University </w:t>
      </w:r>
      <w:r w:rsidR="0075073B">
        <w:t xml:space="preserve">and the Law School </w:t>
      </w:r>
      <w:r w:rsidR="0038346A">
        <w:t xml:space="preserve">and </w:t>
      </w:r>
      <w:r w:rsidR="0003321E">
        <w:t xml:space="preserve">has </w:t>
      </w:r>
      <w:r w:rsidR="00380132">
        <w:t xml:space="preserve">damaged its learning environment and </w:t>
      </w:r>
      <w:r w:rsidR="0038346A">
        <w:t>reputation.  These harms must be rectified.</w:t>
      </w:r>
    </w:p>
    <w:p w14:paraId="105BECB2" w14:textId="68276360" w:rsidR="003F615B" w:rsidRDefault="009A676C" w:rsidP="009A676C">
      <w:pPr>
        <w:ind w:firstLine="720"/>
      </w:pPr>
      <w:r>
        <w:t xml:space="preserve">Rather than debate Prof. Wax on the </w:t>
      </w:r>
      <w:r w:rsidR="00130431">
        <w:t>merits or</w:t>
      </w:r>
      <w:r>
        <w:t xml:space="preserve"> encourage her student </w:t>
      </w:r>
      <w:r w:rsidR="000D3035">
        <w:t xml:space="preserve">and alumni </w:t>
      </w:r>
      <w:r>
        <w:t xml:space="preserve">critics to do the same, Dean Ruger </w:t>
      </w:r>
      <w:r w:rsidR="009F3764">
        <w:t>is</w:t>
      </w:r>
      <w:r w:rsidR="007006DB">
        <w:t xml:space="preserve"> instead</w:t>
      </w:r>
      <w:r w:rsidR="009F3764">
        <w:t xml:space="preserve"> trying to </w:t>
      </w:r>
      <w:r>
        <w:t xml:space="preserve">shut her down by bringing charges </w:t>
      </w:r>
      <w:r w:rsidR="00440EA0">
        <w:t xml:space="preserve">for major sanctions </w:t>
      </w:r>
      <w:r>
        <w:t>against her before the Faculty Senate.  Rather tha</w:t>
      </w:r>
      <w:r w:rsidR="00AE0943">
        <w:t>n</w:t>
      </w:r>
      <w:r>
        <w:t xml:space="preserve"> foster a culture and community of </w:t>
      </w:r>
      <w:r w:rsidR="00182BD9">
        <w:t xml:space="preserve">the civil airing of </w:t>
      </w:r>
      <w:r w:rsidR="003F615B">
        <w:t xml:space="preserve">divergent viewpoints in the marketplace of ideas, Dean Ruger decided that it would be better if </w:t>
      </w:r>
      <w:r w:rsidR="00073B3A">
        <w:t xml:space="preserve">Prof. </w:t>
      </w:r>
      <w:r w:rsidR="00182BD9">
        <w:t xml:space="preserve">Wax was charged with misconduct and </w:t>
      </w:r>
      <w:r w:rsidR="00C13A5E">
        <w:t>penalized.</w:t>
      </w:r>
      <w:r w:rsidR="003F615B">
        <w:t xml:space="preserve">  He therefore asked Vivian L. Gadsden, the Faculty Senate Chair</w:t>
      </w:r>
      <w:r w:rsidR="003F63E1">
        <w:t>,</w:t>
      </w:r>
      <w:r w:rsidR="003F615B">
        <w:t xml:space="preserve"> to </w:t>
      </w:r>
      <w:r w:rsidR="003F615B" w:rsidRPr="003F615B">
        <w:t>initiat</w:t>
      </w:r>
      <w:r w:rsidR="003F615B">
        <w:t xml:space="preserve">e </w:t>
      </w:r>
      <w:r w:rsidR="003F615B" w:rsidRPr="003F615B">
        <w:t>disciplinary action</w:t>
      </w:r>
      <w:r w:rsidR="003F615B">
        <w:t xml:space="preserve"> against her based on her teaching, opinions, </w:t>
      </w:r>
      <w:r w:rsidR="00B30E01">
        <w:t>statements,</w:t>
      </w:r>
      <w:r w:rsidR="003F615B">
        <w:t xml:space="preserve"> and viewpoints.</w:t>
      </w:r>
      <w:r w:rsidR="00B30E01">
        <w:t xml:space="preserve">  Dean Ruger’s charges are based </w:t>
      </w:r>
      <w:r w:rsidR="00B30E01">
        <w:rPr>
          <w:i/>
          <w:iCs/>
        </w:rPr>
        <w:t>solely</w:t>
      </w:r>
      <w:r w:rsidR="00B30E01">
        <w:t xml:space="preserve"> on what Prof. Wax teaches</w:t>
      </w:r>
      <w:r w:rsidR="008941F8">
        <w:t xml:space="preserve"> and </w:t>
      </w:r>
      <w:r w:rsidR="00B30E01">
        <w:t xml:space="preserve">assigns, and </w:t>
      </w:r>
      <w:r w:rsidR="008941F8">
        <w:t>on her speech</w:t>
      </w:r>
      <w:r w:rsidR="004E71E3">
        <w:t xml:space="preserve"> and assertions</w:t>
      </w:r>
      <w:r w:rsidR="009D5B41">
        <w:t xml:space="preserve"> related to her academic inquiry</w:t>
      </w:r>
      <w:r w:rsidR="00B30E01">
        <w:t xml:space="preserve">.  </w:t>
      </w:r>
      <w:r w:rsidR="00B836B0">
        <w:t xml:space="preserve">The charges are </w:t>
      </w:r>
      <w:r w:rsidR="00B30E01">
        <w:t xml:space="preserve">a direct attack on the academic freedoms guaranteed to her by the University’s Handbook and numerous statements on academic </w:t>
      </w:r>
      <w:r w:rsidR="00ED6407">
        <w:t>free expression</w:t>
      </w:r>
      <w:r w:rsidR="00B30E01">
        <w:t xml:space="preserve">, including those from the </w:t>
      </w:r>
      <w:r w:rsidR="00B30E01" w:rsidRPr="00B30E01">
        <w:t xml:space="preserve">American Association </w:t>
      </w:r>
      <w:r w:rsidR="003F63E1">
        <w:t>o</w:t>
      </w:r>
      <w:r w:rsidR="00B30E01" w:rsidRPr="00B30E01">
        <w:t>f University Professors</w:t>
      </w:r>
      <w:r w:rsidR="003F63E1">
        <w:t xml:space="preserve"> (the “AAUP”) and related organizations</w:t>
      </w:r>
      <w:r w:rsidR="00B30E01">
        <w:t>.</w:t>
      </w:r>
      <w:r w:rsidR="00B836B0">
        <w:t xml:space="preserve">  </w:t>
      </w:r>
      <w:r w:rsidR="00073B3A">
        <w:t xml:space="preserve">Ex. A.  </w:t>
      </w:r>
      <w:r w:rsidR="00164A76">
        <w:t>Some</w:t>
      </w:r>
      <w:r w:rsidR="009D5B41">
        <w:t xml:space="preserve"> </w:t>
      </w:r>
      <w:r w:rsidR="00182BD9">
        <w:t>of the charges against Professor Wax are inaccurate, distorted, or simply fabricated.  O</w:t>
      </w:r>
      <w:r w:rsidR="00073B3A">
        <w:t>t</w:t>
      </w:r>
      <w:r w:rsidR="00182BD9">
        <w:t>hers reflect her actual statements as well as her conduct as a professor.  With respect to those, t</w:t>
      </w:r>
      <w:r w:rsidR="00B836B0">
        <w:t>he charges are about one thing and one thing only:  whether Prof. Wax, as a tenured University professor, has the academic freedom, as guaranteed by the University’s tenure system</w:t>
      </w:r>
      <w:r w:rsidR="00A52A56">
        <w:t xml:space="preserve"> and the policies adopted by the University (Ex. A)</w:t>
      </w:r>
      <w:r w:rsidR="00182BD9">
        <w:t>,</w:t>
      </w:r>
      <w:r w:rsidR="00B836B0">
        <w:t xml:space="preserve"> </w:t>
      </w:r>
      <w:r w:rsidR="005C17D2">
        <w:t>to say what she is accused of saying and to teach what she is accused of teaching.</w:t>
      </w:r>
    </w:p>
    <w:p w14:paraId="44B8F29E" w14:textId="5472EACE" w:rsidR="00B30E01" w:rsidRDefault="00B30E01" w:rsidP="003F5612">
      <w:pPr>
        <w:ind w:firstLine="720"/>
      </w:pPr>
      <w:r>
        <w:t xml:space="preserve">Here's what Dean Ruger’s charges </w:t>
      </w:r>
      <w:r w:rsidR="00B836B0">
        <w:t xml:space="preserve">are not about:  </w:t>
      </w:r>
      <w:r>
        <w:t xml:space="preserve">they do not allege that </w:t>
      </w:r>
      <w:r w:rsidR="00305ADF">
        <w:t xml:space="preserve">Prof. </w:t>
      </w:r>
      <w:r w:rsidR="004935C1">
        <w:t xml:space="preserve">Wax </w:t>
      </w:r>
      <w:r>
        <w:t xml:space="preserve">had an inappropriate relationship with a student.  They do not allege financial improprieties.  They do </w:t>
      </w:r>
      <w:r>
        <w:lastRenderedPageBreak/>
        <w:t>not allege a</w:t>
      </w:r>
      <w:r w:rsidR="00B836B0">
        <w:t xml:space="preserve"> </w:t>
      </w:r>
      <w:r>
        <w:t xml:space="preserve">physical attack.  </w:t>
      </w:r>
      <w:r w:rsidR="00B836B0">
        <w:t xml:space="preserve">They do not allege that she </w:t>
      </w:r>
      <w:r w:rsidR="00ED251E">
        <w:t xml:space="preserve">ever uttered epithets, </w:t>
      </w:r>
      <w:r w:rsidR="00440EA0">
        <w:t>used racial slurs</w:t>
      </w:r>
      <w:r w:rsidR="00ED251E">
        <w:t>,</w:t>
      </w:r>
      <w:r w:rsidR="00440EA0">
        <w:t xml:space="preserve"> or engaged in </w:t>
      </w:r>
      <w:r w:rsidR="007224F2">
        <w:t xml:space="preserve">personal, </w:t>
      </w:r>
      <w:r w:rsidR="00440EA0">
        <w:t>ad hominem attacks</w:t>
      </w:r>
      <w:r w:rsidR="00B836B0">
        <w:t xml:space="preserve">.  </w:t>
      </w:r>
      <w:r>
        <w:t xml:space="preserve">They do not </w:t>
      </w:r>
      <w:r w:rsidR="00B836B0">
        <w:t xml:space="preserve">accuse </w:t>
      </w:r>
      <w:r>
        <w:t xml:space="preserve">her of plagiarism, dereliction of any academic duties, or any </w:t>
      </w:r>
      <w:r w:rsidRPr="00B836B0">
        <w:rPr>
          <w:i/>
          <w:iCs/>
        </w:rPr>
        <w:t>actions</w:t>
      </w:r>
      <w:r>
        <w:t xml:space="preserve"> that would constitute a major sanction under the Handbook.  </w:t>
      </w:r>
      <w:r w:rsidR="003F5612" w:rsidRPr="003F5612">
        <w:t xml:space="preserve">At various points Dean Ruger has stated that minority students can </w:t>
      </w:r>
      <w:r w:rsidR="00B433A4">
        <w:t>“</w:t>
      </w:r>
      <w:r w:rsidR="003F5612" w:rsidRPr="003F5612">
        <w:t>reasonably</w:t>
      </w:r>
      <w:r w:rsidR="00B433A4">
        <w:t>”</w:t>
      </w:r>
      <w:r w:rsidR="003F5612" w:rsidRPr="003F5612">
        <w:t xml:space="preserve"> believe that Professor Wax might be biased against them.  This is a baseless and nefarious allegation.  There is not a shred of evidence that </w:t>
      </w:r>
      <w:r w:rsidR="00305ADF">
        <w:t xml:space="preserve">Prof. </w:t>
      </w:r>
      <w:r w:rsidR="003F5612" w:rsidRPr="003F5612">
        <w:t xml:space="preserve">Wax has ever shown bias against any </w:t>
      </w:r>
      <w:r w:rsidR="00754B8F">
        <w:t xml:space="preserve">student.  </w:t>
      </w:r>
      <w:r w:rsidR="003F5612" w:rsidRPr="003F5612">
        <w:t>Professor Dan</w:t>
      </w:r>
      <w:r w:rsidR="00CC29B2">
        <w:t>iel</w:t>
      </w:r>
      <w:r w:rsidR="003F5612" w:rsidRPr="003F5612">
        <w:t xml:space="preserve"> Rodriguez, investigating this question, found no evidence of bias</w:t>
      </w:r>
      <w:r w:rsidR="00440EA0">
        <w:t xml:space="preserve"> against students</w:t>
      </w:r>
      <w:r w:rsidR="003F5612" w:rsidRPr="003F5612">
        <w:t>.</w:t>
      </w:r>
      <w:r w:rsidR="003F5612">
        <w:t xml:space="preserve">  </w:t>
      </w:r>
      <w:r w:rsidR="00440EA0">
        <w:t>Indeed, Prof. Wax has received recognition and accolades for her teaching</w:t>
      </w:r>
      <w:r w:rsidR="00981D99">
        <w:t xml:space="preserve"> during her tenure at Penn, </w:t>
      </w:r>
      <w:r w:rsidR="00D0118A">
        <w:t>reflecting</w:t>
      </w:r>
      <w:r w:rsidR="004749B2">
        <w:t xml:space="preserve"> </w:t>
      </w:r>
      <w:r w:rsidR="00DE0EA8">
        <w:t xml:space="preserve">a continuous record of </w:t>
      </w:r>
      <w:r w:rsidR="004749B2">
        <w:t xml:space="preserve">praise </w:t>
      </w:r>
      <w:r w:rsidR="003025BF">
        <w:t xml:space="preserve">and high marks </w:t>
      </w:r>
      <w:r w:rsidR="00D0118A">
        <w:t>from</w:t>
      </w:r>
      <w:r w:rsidR="003025BF">
        <w:t xml:space="preserve"> student</w:t>
      </w:r>
      <w:r w:rsidR="00F32D60">
        <w:t>s</w:t>
      </w:r>
      <w:r w:rsidR="00440EA0">
        <w:t xml:space="preserve">. </w:t>
      </w:r>
      <w:r w:rsidR="00665AA9">
        <w:t xml:space="preserve"> In 2015 she </w:t>
      </w:r>
      <w:r w:rsidR="00F708E0">
        <w:t>was awarded</w:t>
      </w:r>
      <w:r w:rsidR="00665AA9">
        <w:t xml:space="preserve"> the Lindback </w:t>
      </w:r>
      <w:r w:rsidR="00F708E0">
        <w:t>Prize</w:t>
      </w:r>
      <w:r w:rsidR="00665AA9">
        <w:t xml:space="preserve">, a </w:t>
      </w:r>
      <w:r w:rsidR="00470F32">
        <w:t xml:space="preserve">prestigious </w:t>
      </w:r>
      <w:r w:rsidR="00DE143F">
        <w:t>university-wide prize that only a handful of law professors at Penn</w:t>
      </w:r>
      <w:r w:rsidR="0066156F">
        <w:t xml:space="preserve"> ha</w:t>
      </w:r>
      <w:r w:rsidR="00C652E7">
        <w:t xml:space="preserve">s </w:t>
      </w:r>
      <w:r w:rsidR="0066156F">
        <w:t xml:space="preserve">ever </w:t>
      </w:r>
      <w:r w:rsidR="00F32D60">
        <w:t>earned</w:t>
      </w:r>
      <w:r w:rsidR="00DE143F">
        <w:t xml:space="preserve">.  </w:t>
      </w:r>
      <w:r w:rsidR="008B0F69">
        <w:t>In sum, t</w:t>
      </w:r>
      <w:r w:rsidR="003F5612">
        <w:t xml:space="preserve">he allegations in the charges </w:t>
      </w:r>
      <w:r w:rsidR="008B0F69">
        <w:t>do not concern</w:t>
      </w:r>
      <w:r w:rsidR="003F5612">
        <w:t xml:space="preserve"> </w:t>
      </w:r>
      <w:r w:rsidR="008B0F69" w:rsidRPr="00CC29B2">
        <w:rPr>
          <w:i/>
          <w:iCs/>
        </w:rPr>
        <w:t>behavior</w:t>
      </w:r>
      <w:r w:rsidR="008B0F69">
        <w:t xml:space="preserve"> or actions but only </w:t>
      </w:r>
      <w:r w:rsidR="008B0F69" w:rsidRPr="00CC29B2">
        <w:rPr>
          <w:i/>
          <w:iCs/>
        </w:rPr>
        <w:t>expression</w:t>
      </w:r>
      <w:r w:rsidR="008B0F69">
        <w:t xml:space="preserve">.  </w:t>
      </w:r>
      <w:r>
        <w:t xml:space="preserve">The </w:t>
      </w:r>
      <w:r>
        <w:rPr>
          <w:i/>
          <w:iCs/>
        </w:rPr>
        <w:t>only</w:t>
      </w:r>
      <w:r>
        <w:t xml:space="preserve"> thing that the charges allege </w:t>
      </w:r>
      <w:r w:rsidR="00B836B0">
        <w:t xml:space="preserve">is that </w:t>
      </w:r>
      <w:r w:rsidR="000A6BC5">
        <w:t xml:space="preserve">her speech and expressions of </w:t>
      </w:r>
      <w:r w:rsidR="00010F9B">
        <w:t xml:space="preserve">unpopular or controversial </w:t>
      </w:r>
      <w:r w:rsidR="000A6BC5">
        <w:t>opinion</w:t>
      </w:r>
      <w:r w:rsidR="00010F9B">
        <w:t>s</w:t>
      </w:r>
      <w:r w:rsidR="000F684D">
        <w:t xml:space="preserve"> </w:t>
      </w:r>
      <w:r w:rsidR="00B836B0">
        <w:t xml:space="preserve">require a major sanction, including </w:t>
      </w:r>
      <w:r w:rsidR="0053057E">
        <w:t xml:space="preserve">possible </w:t>
      </w:r>
      <w:r w:rsidR="00B836B0">
        <w:t>loss of tenure and termination.</w:t>
      </w:r>
      <w:r w:rsidR="003F5612">
        <w:t xml:space="preserve">  </w:t>
      </w:r>
    </w:p>
    <w:p w14:paraId="013201EB" w14:textId="5B8E47AE" w:rsidR="000F684D" w:rsidRDefault="00B836B0" w:rsidP="009A676C">
      <w:pPr>
        <w:ind w:firstLine="720"/>
      </w:pPr>
      <w:r>
        <w:t xml:space="preserve">But here’s the problem:  because Dean Ruger’s charges are an attack on Prof. Wax’s academic freedom, the issues can only be decided </w:t>
      </w:r>
      <w:r w:rsidR="00A00B8C">
        <w:t xml:space="preserve">by </w:t>
      </w:r>
      <w:r w:rsidR="00073B3A">
        <w:t>the Commission</w:t>
      </w:r>
      <w:r>
        <w:t>; a Hearing Board constituted by the Senate pursuant to the Handbook</w:t>
      </w:r>
      <w:r w:rsidR="009D1047">
        <w:t xml:space="preserve"> cannot decide these issues.  </w:t>
      </w:r>
      <w:r w:rsidR="00B87A1D">
        <w:t xml:space="preserve">Handbook hearings </w:t>
      </w:r>
      <w:r w:rsidR="000A6BC5">
        <w:t xml:space="preserve">are not the appropriate venue for dealing with </w:t>
      </w:r>
      <w:r w:rsidR="00C13BEB">
        <w:t xml:space="preserve">questions of </w:t>
      </w:r>
      <w:r w:rsidR="00B87A1D">
        <w:t xml:space="preserve">academic </w:t>
      </w:r>
      <w:r w:rsidR="001B0BA6">
        <w:t>free expression</w:t>
      </w:r>
      <w:r w:rsidR="00B87A1D">
        <w:t xml:space="preserve">; </w:t>
      </w:r>
      <w:r w:rsidR="00A925DA">
        <w:t xml:space="preserve">these </w:t>
      </w:r>
      <w:r w:rsidR="00B87A1D">
        <w:t xml:space="preserve">can only be handled by </w:t>
      </w:r>
      <w:r w:rsidR="00A67895">
        <w:t>the Commission</w:t>
      </w:r>
      <w:r w:rsidR="00B87A1D">
        <w:t xml:space="preserve">.  And there are </w:t>
      </w:r>
      <w:r w:rsidR="00D80DBB">
        <w:t xml:space="preserve">compelling reasons </w:t>
      </w:r>
      <w:r w:rsidR="00B87A1D">
        <w:t>for that</w:t>
      </w:r>
      <w:r w:rsidR="00D80DBB">
        <w:t xml:space="preserve"> assignment of responsibility</w:t>
      </w:r>
      <w:r w:rsidR="00B87A1D">
        <w:t xml:space="preserve">.  </w:t>
      </w:r>
    </w:p>
    <w:p w14:paraId="305A1823" w14:textId="553639AC" w:rsidR="000F684D" w:rsidRDefault="00D6093B" w:rsidP="00D120FE">
      <w:pPr>
        <w:ind w:firstLine="720"/>
      </w:pPr>
      <w:r>
        <w:lastRenderedPageBreak/>
        <w:t xml:space="preserve">The </w:t>
      </w:r>
      <w:r w:rsidR="00090254">
        <w:t>Penn grievance procedures and policies that are</w:t>
      </w:r>
      <w:r>
        <w:t xml:space="preserve"> pertinent to </w:t>
      </w:r>
      <w:r w:rsidR="00305ADF">
        <w:t xml:space="preserve">the Grievant’s </w:t>
      </w:r>
      <w:r>
        <w:t xml:space="preserve">case </w:t>
      </w:r>
      <w:r w:rsidR="00090254">
        <w:t xml:space="preserve">were revised in </w:t>
      </w:r>
      <w:r w:rsidR="00693546">
        <w:t xml:space="preserve">2013 and </w:t>
      </w:r>
      <w:r w:rsidR="00090254">
        <w:t xml:space="preserve">2014 and </w:t>
      </w:r>
      <w:r w:rsidRPr="00D6093B">
        <w:t>became effective as of July 1, 2014.</w:t>
      </w:r>
      <w:r w:rsidR="00D55176">
        <w:rPr>
          <w:rStyle w:val="FootnoteReference"/>
        </w:rPr>
        <w:footnoteReference w:id="2"/>
      </w:r>
      <w:r w:rsidRPr="00D6093B">
        <w:t xml:space="preserve">  </w:t>
      </w:r>
      <w:r w:rsidR="000A6BC5">
        <w:t xml:space="preserve">According to the </w:t>
      </w:r>
      <w:r w:rsidR="00A67895">
        <w:t>Commission’s procedures</w:t>
      </w:r>
      <w:r w:rsidR="000A6BC5">
        <w:t xml:space="preserve">, </w:t>
      </w:r>
      <w:r w:rsidR="000F684D">
        <w:t>i</w:t>
      </w:r>
      <w:r w:rsidR="000F684D" w:rsidRPr="000F684D">
        <w:t xml:space="preserve">f </w:t>
      </w:r>
      <w:r w:rsidR="008E19CF">
        <w:t xml:space="preserve">a </w:t>
      </w:r>
      <w:r w:rsidR="000F684D" w:rsidRPr="000F684D">
        <w:t xml:space="preserve">faculty member’s claims </w:t>
      </w:r>
      <w:r w:rsidR="00352641">
        <w:t xml:space="preserve">seek to </w:t>
      </w:r>
      <w:r w:rsidR="00E42E7D">
        <w:t>address or implicate</w:t>
      </w:r>
      <w:r w:rsidR="008D4DA8" w:rsidRPr="000F684D">
        <w:t xml:space="preserve"> </w:t>
      </w:r>
      <w:r w:rsidR="000F684D" w:rsidRPr="000F684D">
        <w:t xml:space="preserve">issues of </w:t>
      </w:r>
      <w:r w:rsidR="000F684D">
        <w:t>“</w:t>
      </w:r>
      <w:r w:rsidR="000F684D" w:rsidRPr="000F684D">
        <w:t>academic freedom</w:t>
      </w:r>
      <w:r w:rsidR="000F684D">
        <w:t xml:space="preserve">,” then </w:t>
      </w:r>
      <w:r w:rsidR="000F684D" w:rsidRPr="000F684D">
        <w:rPr>
          <w:i/>
          <w:iCs/>
        </w:rPr>
        <w:t>SCAFR</w:t>
      </w:r>
      <w:r w:rsidR="000F684D">
        <w:t xml:space="preserve"> must “</w:t>
      </w:r>
      <w:r w:rsidR="000F684D" w:rsidRPr="000F684D">
        <w:t>promptly determine whether the grievance raises significant questions of academic freedom.</w:t>
      </w:r>
      <w:r w:rsidR="000F684D">
        <w:t xml:space="preserve">”  </w:t>
      </w:r>
      <w:r w:rsidR="00A67895">
        <w:t>Handbook</w:t>
      </w:r>
      <w:r w:rsidR="000F684D">
        <w:t>, § III.</w:t>
      </w:r>
      <w:r w:rsidR="00A67895">
        <w:t>B</w:t>
      </w:r>
      <w:r w:rsidR="000F684D">
        <w:t xml:space="preserve">.  </w:t>
      </w:r>
      <w:r w:rsidR="00F61736" w:rsidRPr="00F61736">
        <w:t xml:space="preserve">SCAFR </w:t>
      </w:r>
      <w:r w:rsidR="00F61736">
        <w:t>is then instructed to “</w:t>
      </w:r>
      <w:r w:rsidR="00F61736" w:rsidRPr="00F61736">
        <w:t>communicate its findings to the Commission which will accept SCAFR’s findings with respect to the academic freedom portions of the complaint.</w:t>
      </w:r>
      <w:r w:rsidR="00F61736">
        <w:t xml:space="preserve">” </w:t>
      </w:r>
      <w:r w:rsidR="00D120FE">
        <w:t xml:space="preserve"> </w:t>
      </w:r>
      <w:r w:rsidR="00D120FE">
        <w:rPr>
          <w:i/>
          <w:iCs/>
        </w:rPr>
        <w:t>Id</w:t>
      </w:r>
      <w:r w:rsidR="00D120FE">
        <w:t xml:space="preserve">.  </w:t>
      </w:r>
      <w:r w:rsidR="002850D8">
        <w:t>“</w:t>
      </w:r>
      <w:r w:rsidR="002850D8" w:rsidRPr="000F684D">
        <w:t xml:space="preserve">If the complaint that is concerned with academic freedom </w:t>
      </w:r>
      <w:r w:rsidR="00A85C43">
        <w:t>i</w:t>
      </w:r>
      <w:r w:rsidR="002850D8" w:rsidRPr="000F684D">
        <w:t xml:space="preserve">s brought against a University administrator, Dean or involves more than one school or University policies of general interest, </w:t>
      </w:r>
      <w:r w:rsidR="002850D8" w:rsidRPr="000F684D">
        <w:rPr>
          <w:i/>
          <w:iCs/>
        </w:rPr>
        <w:t>SCAFR will have jurisdiction</w:t>
      </w:r>
      <w:r w:rsidR="002850D8" w:rsidRPr="000F684D">
        <w:t>.</w:t>
      </w:r>
      <w:r w:rsidR="002850D8">
        <w:t>”</w:t>
      </w:r>
      <w:r w:rsidR="002850D8" w:rsidRPr="000F684D">
        <w:t xml:space="preserve"> </w:t>
      </w:r>
      <w:r w:rsidR="002850D8">
        <w:t xml:space="preserve"> </w:t>
      </w:r>
      <w:r w:rsidR="002850D8">
        <w:rPr>
          <w:i/>
          <w:iCs/>
        </w:rPr>
        <w:t>Id</w:t>
      </w:r>
      <w:r w:rsidR="002850D8">
        <w:t xml:space="preserve">. (emphasis added).  Prof. Wax’s Grievance is being brought against Dean Ruger and it involves “University policies of general interest” </w:t>
      </w:r>
      <w:r w:rsidR="000818F1">
        <w:t xml:space="preserve">covering </w:t>
      </w:r>
      <w:r w:rsidR="00AE181C">
        <w:t xml:space="preserve">protections for academic free expression. </w:t>
      </w:r>
      <w:r w:rsidR="002850D8">
        <w:t xml:space="preserve"> </w:t>
      </w:r>
      <w:r w:rsidR="00D1058C">
        <w:t>It follows that</w:t>
      </w:r>
      <w:r w:rsidR="000A6BC5">
        <w:t xml:space="preserve"> </w:t>
      </w:r>
      <w:r w:rsidR="00541895">
        <w:t xml:space="preserve">the </w:t>
      </w:r>
      <w:r w:rsidR="000A6BC5">
        <w:t xml:space="preserve">complaint </w:t>
      </w:r>
      <w:r w:rsidR="00CC7A24">
        <w:t xml:space="preserve">Dean Ruger </w:t>
      </w:r>
      <w:r w:rsidR="000A6BC5">
        <w:t xml:space="preserve">brought </w:t>
      </w:r>
      <w:r w:rsidR="00CC7A24">
        <w:t xml:space="preserve">to </w:t>
      </w:r>
      <w:r w:rsidR="000A6BC5">
        <w:t xml:space="preserve">the Faculty Senate </w:t>
      </w:r>
      <w:r w:rsidR="002850D8">
        <w:t xml:space="preserve">against </w:t>
      </w:r>
      <w:r w:rsidR="000818F1">
        <w:t>Prof. Wax</w:t>
      </w:r>
      <w:r w:rsidR="002850D8">
        <w:t xml:space="preserve"> for “sanctions” </w:t>
      </w:r>
      <w:r w:rsidR="000A6BC5">
        <w:t>is not the appropriate forum for the types of issues involved in this case</w:t>
      </w:r>
      <w:r w:rsidR="002850D8">
        <w:t xml:space="preserve"> (academic freedom and tenure).</w:t>
      </w:r>
    </w:p>
    <w:p w14:paraId="2F9C1E28" w14:textId="2652FF80" w:rsidR="007E2DAE" w:rsidRPr="007E2DAE" w:rsidRDefault="009354F1" w:rsidP="005E4A8B">
      <w:pPr>
        <w:ind w:firstLine="720"/>
      </w:pPr>
      <w:r>
        <w:t>There are significant and important differences between a SCAF</w:t>
      </w:r>
      <w:r w:rsidR="008E19CF">
        <w:t>R</w:t>
      </w:r>
      <w:r>
        <w:t xml:space="preserve"> hearing on academic freed</w:t>
      </w:r>
      <w:r w:rsidR="007E2DAE">
        <w:t>om</w:t>
      </w:r>
      <w:r>
        <w:t xml:space="preserve"> and a Handbook hearing </w:t>
      </w:r>
      <w:r w:rsidR="00CD7F67">
        <w:t xml:space="preserve">on charges </w:t>
      </w:r>
      <w:r>
        <w:t>seeking a major sanction.</w:t>
      </w:r>
      <w:r w:rsidR="00A56E81">
        <w:t xml:space="preserve">  </w:t>
      </w:r>
      <w:r w:rsidR="007E2DAE">
        <w:t xml:space="preserve">The </w:t>
      </w:r>
      <w:r w:rsidR="007E2DAE">
        <w:rPr>
          <w:i/>
          <w:iCs/>
        </w:rPr>
        <w:t>only</w:t>
      </w:r>
      <w:r w:rsidR="007E2DAE">
        <w:t xml:space="preserve"> issue</w:t>
      </w:r>
      <w:r w:rsidR="00D036F4">
        <w:t xml:space="preserve">s </w:t>
      </w:r>
      <w:r w:rsidR="00DF34E8">
        <w:t xml:space="preserve">that are to be </w:t>
      </w:r>
      <w:r w:rsidR="00D036F4">
        <w:t>considered</w:t>
      </w:r>
      <w:r w:rsidR="007E2DAE">
        <w:t xml:space="preserve"> </w:t>
      </w:r>
      <w:r w:rsidR="00DF34E8">
        <w:t xml:space="preserve">by </w:t>
      </w:r>
      <w:r w:rsidR="00320437">
        <w:t xml:space="preserve">SCAFR </w:t>
      </w:r>
      <w:r w:rsidR="00DF34E8">
        <w:t xml:space="preserve">are those pertaining to </w:t>
      </w:r>
      <w:r w:rsidR="007E2DAE">
        <w:t xml:space="preserve">academic freedom.  To borrow language from the law, </w:t>
      </w:r>
      <w:r w:rsidR="00320437">
        <w:t xml:space="preserve">SCAFR </w:t>
      </w:r>
      <w:r w:rsidR="007E2DAE">
        <w:t xml:space="preserve">is a </w:t>
      </w:r>
      <w:r w:rsidR="00CC29B2">
        <w:t xml:space="preserve">tribunal </w:t>
      </w:r>
      <w:r w:rsidR="007E2DAE">
        <w:t xml:space="preserve">of limited and exclusive jurisdiction:  </w:t>
      </w:r>
      <w:r w:rsidR="00934303">
        <w:t xml:space="preserve">it only </w:t>
      </w:r>
      <w:r w:rsidR="007E2DAE">
        <w:t>hears matters related to academic fr</w:t>
      </w:r>
      <w:r w:rsidR="000A6BC5">
        <w:t xml:space="preserve">eedom, and it is charged </w:t>
      </w:r>
      <w:r w:rsidR="00051AF5">
        <w:t xml:space="preserve">exclusively </w:t>
      </w:r>
      <w:r w:rsidR="000A6BC5">
        <w:t>with hearing those matters.</w:t>
      </w:r>
      <w:r w:rsidR="007E2DAE">
        <w:t xml:space="preserve">  A </w:t>
      </w:r>
      <w:r w:rsidR="007E2DAE">
        <w:lastRenderedPageBreak/>
        <w:t xml:space="preserve">Handbook </w:t>
      </w:r>
      <w:r w:rsidR="00D55176">
        <w:t>H</w:t>
      </w:r>
      <w:r w:rsidR="007E2DAE">
        <w:t xml:space="preserve">earing </w:t>
      </w:r>
      <w:r w:rsidR="00D55176">
        <w:t>B</w:t>
      </w:r>
      <w:r w:rsidR="007E2DAE">
        <w:t xml:space="preserve">oard, on the other hand, is constituted to consider whether </w:t>
      </w:r>
      <w:r w:rsidR="009B20BB">
        <w:t xml:space="preserve">there has been a “major” infraction of </w:t>
      </w:r>
      <w:r w:rsidR="007E2DAE">
        <w:t>“University standards</w:t>
      </w:r>
      <w:r w:rsidR="009B20BB">
        <w:t>.</w:t>
      </w:r>
      <w:r w:rsidR="007E2DAE">
        <w:t>”</w:t>
      </w:r>
      <w:r w:rsidR="009B20BB">
        <w:t xml:space="preserve">  The Commission is comprised of only three (3) members, carefully chosen; a Handbook </w:t>
      </w:r>
      <w:r w:rsidR="00D55176">
        <w:t>H</w:t>
      </w:r>
      <w:r w:rsidR="009B20BB">
        <w:t xml:space="preserve">earing </w:t>
      </w:r>
      <w:r w:rsidR="00D55176">
        <w:t>B</w:t>
      </w:r>
      <w:r w:rsidR="009B20BB">
        <w:t xml:space="preserve">oard consists of five (5) members.  </w:t>
      </w:r>
      <w:r w:rsidR="009B20BB" w:rsidRPr="009B20BB">
        <w:t xml:space="preserve">SCAFR consists of nine </w:t>
      </w:r>
      <w:r w:rsidR="00320437">
        <w:t xml:space="preserve">(9) </w:t>
      </w:r>
      <w:r w:rsidR="009B20BB" w:rsidRPr="009B20BB">
        <w:t>Standing Faculty members who each serve three-year terms</w:t>
      </w:r>
      <w:r w:rsidR="009B20BB">
        <w:t xml:space="preserve">.  </w:t>
      </w:r>
      <w:r w:rsidR="00464729">
        <w:t>T</w:t>
      </w:r>
      <w:r w:rsidR="00C03AC2">
        <w:t>here is no equivalent at the faculty level for a Handbook-like hearing on “major” infractions of “University standards</w:t>
      </w:r>
      <w:r w:rsidR="00D4798B">
        <w:t>,</w:t>
      </w:r>
      <w:r w:rsidR="00C03AC2">
        <w:t>”</w:t>
      </w:r>
      <w:r w:rsidR="008254A2">
        <w:t xml:space="preserve"> but each faculty</w:t>
      </w:r>
      <w:r w:rsidR="00A47039">
        <w:t>, including the Law School,</w:t>
      </w:r>
      <w:r w:rsidR="008254A2">
        <w:t xml:space="preserve"> has its own Committee on Academic Freedom and </w:t>
      </w:r>
      <w:r w:rsidR="00DE3C31">
        <w:t>Responsibility</w:t>
      </w:r>
      <w:r w:rsidR="008254A2">
        <w:t>.</w:t>
      </w:r>
      <w:r w:rsidR="00C03AC2">
        <w:t xml:space="preserve">  The University, in other words, made a calculated decision in 201</w:t>
      </w:r>
      <w:r w:rsidR="007A6F49">
        <w:t>4</w:t>
      </w:r>
      <w:r w:rsidR="00C03AC2">
        <w:t xml:space="preserve"> to </w:t>
      </w:r>
      <w:r w:rsidR="002E21DC">
        <w:t xml:space="preserve">create </w:t>
      </w:r>
      <w:r w:rsidR="00C03AC2">
        <w:t xml:space="preserve">separate procedures and bodies for determining issues related to academic freedom as opposed to “major infractions” of “University standards” (e.g., </w:t>
      </w:r>
      <w:r w:rsidR="006E4599">
        <w:t>quasi-criminal activity</w:t>
      </w:r>
      <w:r w:rsidR="00703245">
        <w:t>, dereliction of academic duties,</w:t>
      </w:r>
      <w:r w:rsidR="006E4599">
        <w:t xml:space="preserve"> </w:t>
      </w:r>
      <w:r w:rsidR="002E21DC">
        <w:t xml:space="preserve">or other non-expressive behavioral misconduct </w:t>
      </w:r>
      <w:r w:rsidR="006E4599">
        <w:t xml:space="preserve">requiring </w:t>
      </w:r>
      <w:r w:rsidR="00D4798B">
        <w:t xml:space="preserve">penalty or </w:t>
      </w:r>
      <w:r w:rsidR="006E4599">
        <w:t>termination).  Charges related to academic freedom</w:t>
      </w:r>
      <w:r w:rsidR="00A4704D">
        <w:t>, speech,</w:t>
      </w:r>
      <w:r w:rsidR="00D23737">
        <w:t xml:space="preserve"> and expression</w:t>
      </w:r>
      <w:r w:rsidR="006E4599">
        <w:t xml:space="preserve"> must be adjudicated by the Commission</w:t>
      </w:r>
      <w:r w:rsidR="00C14C6D">
        <w:t xml:space="preserve"> and SCAFR</w:t>
      </w:r>
      <w:r w:rsidR="006E4599">
        <w:t xml:space="preserve"> pursuant to </w:t>
      </w:r>
      <w:r w:rsidR="00C14C6D">
        <w:t xml:space="preserve">their </w:t>
      </w:r>
      <w:r w:rsidR="006E4599">
        <w:t>rules.</w:t>
      </w:r>
    </w:p>
    <w:p w14:paraId="7A8CE6F2" w14:textId="6A6D2A5A" w:rsidR="005F261A" w:rsidRDefault="000F684D" w:rsidP="009B070D">
      <w:pPr>
        <w:ind w:firstLine="720"/>
      </w:pPr>
      <w:r>
        <w:t xml:space="preserve">The charges brought by Dean Ruger, therefore, are not in compliance with </w:t>
      </w:r>
      <w:proofErr w:type="gramStart"/>
      <w:r>
        <w:t>University</w:t>
      </w:r>
      <w:proofErr w:type="gramEnd"/>
      <w:r>
        <w:t xml:space="preserve"> procedures and regulations.  The University’s procedures and regulations, as codified in the </w:t>
      </w:r>
      <w:r w:rsidR="00C14C6D">
        <w:t xml:space="preserve">Handbook, </w:t>
      </w:r>
      <w:r>
        <w:t>dictate that only SCAF</w:t>
      </w:r>
      <w:r w:rsidR="0022314A">
        <w:t>R</w:t>
      </w:r>
      <w:r>
        <w:t xml:space="preserve"> </w:t>
      </w:r>
      <w:r w:rsidR="009B070D">
        <w:t xml:space="preserve">and the Commission have </w:t>
      </w:r>
      <w:r>
        <w:t xml:space="preserve">jurisdiction over complaints that are “concerned” with academic freedom.  </w:t>
      </w:r>
      <w:r w:rsidR="002E21DC">
        <w:t>Dean Ruger has sought to evade this very clear division of responsibility b</w:t>
      </w:r>
      <w:r w:rsidR="005E4A8B">
        <w:t xml:space="preserve">y </w:t>
      </w:r>
      <w:r w:rsidR="002E21DC">
        <w:t>relabeling issues of academic free expression as “behavior” that can be charged as “misconduct.”  This facile</w:t>
      </w:r>
      <w:r w:rsidR="009F5935">
        <w:t>, manipulative</w:t>
      </w:r>
      <w:r w:rsidR="005977BA">
        <w:t>,</w:t>
      </w:r>
      <w:r w:rsidR="002E21DC">
        <w:t xml:space="preserve"> </w:t>
      </w:r>
      <w:r w:rsidR="00A74793">
        <w:t xml:space="preserve">and destructive </w:t>
      </w:r>
      <w:r w:rsidR="002E21DC">
        <w:t xml:space="preserve">trick of legerdemain should not be permitted to circumvent the proper procedures contemplated by the University rules.  </w:t>
      </w:r>
      <w:r>
        <w:t xml:space="preserve">Dean Ruger should have brought this issue to </w:t>
      </w:r>
      <w:r w:rsidR="005628D8">
        <w:t>the Commission</w:t>
      </w:r>
      <w:r>
        <w:t xml:space="preserve">, but he did not.  </w:t>
      </w:r>
      <w:r w:rsidR="000E343F">
        <w:t>The Handbook states that</w:t>
      </w:r>
      <w:r w:rsidR="00D55176">
        <w:t xml:space="preserve"> </w:t>
      </w:r>
      <w:r w:rsidR="009B070D">
        <w:t>“</w:t>
      </w:r>
      <w:r w:rsidR="009B070D" w:rsidRPr="003B12CF">
        <w:t>A grievance is a claim that action has been taken that involves a faculty member’s personnel status or the terms or conditions of employment and that is</w:t>
      </w:r>
      <w:r w:rsidR="009B070D">
        <w:t xml:space="preserve"> . . . </w:t>
      </w:r>
      <w:r w:rsidR="009B070D" w:rsidRPr="003B12CF">
        <w:t xml:space="preserve">not in </w:t>
      </w:r>
      <w:r w:rsidR="009B070D" w:rsidRPr="003B12CF">
        <w:lastRenderedPageBreak/>
        <w:t>compliance with University procedures or regulations.</w:t>
      </w:r>
      <w:r w:rsidR="009B070D">
        <w:t>”</w:t>
      </w:r>
      <w:r w:rsidR="009B070D">
        <w:rPr>
          <w:rStyle w:val="FootnoteReference"/>
        </w:rPr>
        <w:footnoteReference w:id="3"/>
      </w:r>
      <w:r w:rsidR="009B070D">
        <w:t xml:space="preserve">  </w:t>
      </w:r>
      <w:r w:rsidR="00EE4AD5">
        <w:t>Under</w:t>
      </w:r>
      <w:r w:rsidR="00D37060" w:rsidRPr="00D37060">
        <w:t xml:space="preserve"> University procedures and regulations</w:t>
      </w:r>
      <w:r w:rsidR="00B155FD">
        <w:t>,</w:t>
      </w:r>
      <w:r w:rsidR="00D37060" w:rsidRPr="00D37060" w:rsidDel="00257ABB">
        <w:t xml:space="preserve"> </w:t>
      </w:r>
      <w:r w:rsidR="00FF4547">
        <w:t xml:space="preserve">the Commission, through SCAFR, must consider </w:t>
      </w:r>
      <w:r w:rsidR="00257ABB">
        <w:t xml:space="preserve">all matters concerning </w:t>
      </w:r>
      <w:r w:rsidR="00D2227E">
        <w:t xml:space="preserve">Prof. </w:t>
      </w:r>
      <w:r w:rsidR="00257ABB">
        <w:t xml:space="preserve">Wax’s </w:t>
      </w:r>
      <w:r w:rsidR="00D37060">
        <w:t xml:space="preserve">utterances, statements, and </w:t>
      </w:r>
      <w:r w:rsidR="000F79C6">
        <w:t>teaching</w:t>
      </w:r>
      <w:r w:rsidR="00F5411E">
        <w:t>s</w:t>
      </w:r>
      <w:r w:rsidR="00C652E7">
        <w:t xml:space="preserve"> – the </w:t>
      </w:r>
      <w:r w:rsidR="00FF4547" w:rsidRPr="00FF4547">
        <w:t>Hearing Board</w:t>
      </w:r>
      <w:r w:rsidR="008C6322">
        <w:t xml:space="preserve"> cannot </w:t>
      </w:r>
      <w:r w:rsidR="000F79C6">
        <w:t xml:space="preserve">consider or </w:t>
      </w:r>
      <w:r w:rsidR="008C6322">
        <w:t xml:space="preserve">decide them. </w:t>
      </w:r>
      <w:r w:rsidR="00F5411E">
        <w:t xml:space="preserve"> </w:t>
      </w:r>
      <w:r w:rsidR="00EE4AD5">
        <w:t>Prof</w:t>
      </w:r>
      <w:r w:rsidR="00C652E7">
        <w:t xml:space="preserve">. </w:t>
      </w:r>
      <w:r w:rsidR="00EE4AD5">
        <w:t xml:space="preserve">Wax </w:t>
      </w:r>
      <w:r w:rsidR="001613B9">
        <w:t xml:space="preserve">files this </w:t>
      </w:r>
      <w:r w:rsidR="006950D2">
        <w:t>G</w:t>
      </w:r>
      <w:r w:rsidR="001613B9">
        <w:t xml:space="preserve">rievance to ensure, </w:t>
      </w:r>
      <w:r w:rsidR="001613B9" w:rsidRPr="00014B8C">
        <w:rPr>
          <w:i/>
          <w:iCs/>
        </w:rPr>
        <w:t>inter alia</w:t>
      </w:r>
      <w:r w:rsidR="001613B9">
        <w:t>, that the University</w:t>
      </w:r>
      <w:r w:rsidR="00F5411E">
        <w:t>’s</w:t>
      </w:r>
      <w:r w:rsidR="001613B9">
        <w:t xml:space="preserve"> jurisdictional rules are </w:t>
      </w:r>
      <w:r w:rsidR="00F3791F">
        <w:t>enforced,</w:t>
      </w:r>
      <w:r w:rsidR="00E02206">
        <w:t xml:space="preserve"> and Dean Ruger’s misuse of University Procedures</w:t>
      </w:r>
      <w:r w:rsidR="009E20E3">
        <w:t xml:space="preserve"> is corrected</w:t>
      </w:r>
      <w:r w:rsidR="001613B9">
        <w:t xml:space="preserve">.  </w:t>
      </w:r>
    </w:p>
    <w:p w14:paraId="141DB8FF" w14:textId="0843AD69" w:rsidR="00B87A1D" w:rsidRPr="000F684D" w:rsidRDefault="00D64539" w:rsidP="009B070D">
      <w:pPr>
        <w:ind w:firstLine="720"/>
      </w:pPr>
      <w:r>
        <w:t xml:space="preserve">In sum, </w:t>
      </w:r>
      <w:r w:rsidR="005F261A">
        <w:t xml:space="preserve">Dean Ruger’s decision to bring charges against Professor Wax instead of bringing this matter to </w:t>
      </w:r>
      <w:r w:rsidR="005628D8">
        <w:t xml:space="preserve">the Commission </w:t>
      </w:r>
      <w:r w:rsidR="005F261A">
        <w:t xml:space="preserve">is a clear abuse of his authority and the University rules.  It is thus appropriate for </w:t>
      </w:r>
      <w:r w:rsidR="009B070D">
        <w:t>Prof. Wax</w:t>
      </w:r>
      <w:r w:rsidR="005F261A">
        <w:t xml:space="preserve"> to bring this </w:t>
      </w:r>
      <w:r w:rsidR="005628D8">
        <w:t>G</w:t>
      </w:r>
      <w:r w:rsidR="005F261A">
        <w:t>rievance</w:t>
      </w:r>
      <w:r w:rsidR="005628D8">
        <w:t xml:space="preserve"> </w:t>
      </w:r>
      <w:r w:rsidR="009B070D">
        <w:t>against Dean Ruger</w:t>
      </w:r>
      <w:r w:rsidR="00DE1738">
        <w:t xml:space="preserve">.  The grounds for this Grievance are both procedural and substantive.  First, </w:t>
      </w:r>
      <w:r w:rsidR="00D55176">
        <w:t xml:space="preserve">Dean </w:t>
      </w:r>
      <w:r w:rsidR="00DE1738">
        <w:t>Ruger</w:t>
      </w:r>
      <w:r w:rsidR="009B070D">
        <w:t xml:space="preserve"> is not </w:t>
      </w:r>
      <w:r w:rsidR="001F6323">
        <w:t xml:space="preserve">making use of </w:t>
      </w:r>
      <w:r w:rsidR="009B070D">
        <w:t>the University’s procedures or regulations for dealing with an issue involving academic freedom</w:t>
      </w:r>
      <w:r w:rsidR="00DE1738">
        <w:t xml:space="preserve"> and</w:t>
      </w:r>
      <w:r w:rsidR="009B070D">
        <w:t xml:space="preserve"> he is </w:t>
      </w:r>
      <w:r w:rsidR="001F6323">
        <w:t>attempting to circumvent those procedures</w:t>
      </w:r>
      <w:r w:rsidR="00746353">
        <w:t xml:space="preserve"> contrary to University rules.  Second, </w:t>
      </w:r>
      <w:r w:rsidR="001F6323">
        <w:t xml:space="preserve">he </w:t>
      </w:r>
      <w:r w:rsidR="00D55176">
        <w:t xml:space="preserve">brought </w:t>
      </w:r>
      <w:r w:rsidR="001F6323">
        <w:t>charges against Prof</w:t>
      </w:r>
      <w:r w:rsidR="00C652E7">
        <w:t xml:space="preserve">. </w:t>
      </w:r>
      <w:r w:rsidR="001F6323">
        <w:t xml:space="preserve">Wax </w:t>
      </w:r>
      <w:r w:rsidR="009B070D">
        <w:t xml:space="preserve">using the Handbook </w:t>
      </w:r>
      <w:r w:rsidR="001F6323">
        <w:t>procedures in an effort to punish</w:t>
      </w:r>
      <w:r w:rsidR="008201AE">
        <w:t>, penalize, and harm</w:t>
      </w:r>
      <w:r w:rsidR="001F6323">
        <w:t xml:space="preserve"> her for her protected and valid exercise of academic free expression as guaranteed by her tenure contract and Penn’s </w:t>
      </w:r>
      <w:r w:rsidR="002E017F">
        <w:t xml:space="preserve">policies on </w:t>
      </w:r>
      <w:r w:rsidR="001F6323">
        <w:t xml:space="preserve">academic freedom. </w:t>
      </w:r>
      <w:r w:rsidR="00A10262">
        <w:t xml:space="preserve"> This </w:t>
      </w:r>
      <w:r w:rsidR="00F5411E">
        <w:t>G</w:t>
      </w:r>
      <w:r w:rsidR="00A10262">
        <w:t xml:space="preserve">rievance asks that both of </w:t>
      </w:r>
      <w:r w:rsidR="00766C11">
        <w:t>those infractions be rectified.</w:t>
      </w:r>
    </w:p>
    <w:p w14:paraId="5C9EB826" w14:textId="397E91D4" w:rsidR="00825BD1" w:rsidRDefault="00C17F34" w:rsidP="004250FD">
      <w:pPr>
        <w:pStyle w:val="Heading1"/>
        <w:rPr>
          <w:u w:val="single"/>
        </w:rPr>
      </w:pPr>
      <w:bookmarkStart w:id="2" w:name="_Toc124755373"/>
      <w:r>
        <w:t>the</w:t>
      </w:r>
      <w:r w:rsidR="00856AB4">
        <w:t xml:space="preserve"> </w:t>
      </w:r>
      <w:r w:rsidR="00CC53FA" w:rsidRPr="00CC53FA">
        <w:t xml:space="preserve">charges </w:t>
      </w:r>
      <w:r>
        <w:t>brought by dean ruger</w:t>
      </w:r>
      <w:r w:rsidR="00CC53FA" w:rsidRPr="00CC53FA">
        <w:t xml:space="preserve"> attack</w:t>
      </w:r>
      <w:r w:rsidR="00957D29">
        <w:t>ing</w:t>
      </w:r>
      <w:r w:rsidR="00CC53FA" w:rsidRPr="00CC53FA">
        <w:t xml:space="preserve"> prof. wax’s guaranteed academic freedom</w:t>
      </w:r>
      <w:r w:rsidR="00B87595">
        <w:t xml:space="preserve"> of expression belong before </w:t>
      </w:r>
      <w:r w:rsidR="00B87595" w:rsidRPr="00014B8C">
        <w:rPr>
          <w:u w:val="single"/>
        </w:rPr>
        <w:t xml:space="preserve">the commission and </w:t>
      </w:r>
      <w:r w:rsidR="00957D29" w:rsidRPr="00014B8C">
        <w:rPr>
          <w:u w:val="single"/>
        </w:rPr>
        <w:t>are baseless and meritless</w:t>
      </w:r>
      <w:r w:rsidR="00F3791F">
        <w:rPr>
          <w:u w:val="single"/>
        </w:rPr>
        <w:t>.</w:t>
      </w:r>
      <w:bookmarkEnd w:id="2"/>
      <w:r w:rsidR="00957D29" w:rsidRPr="00014B8C">
        <w:rPr>
          <w:u w:val="single"/>
        </w:rPr>
        <w:t xml:space="preserve"> </w:t>
      </w:r>
      <w:r w:rsidR="00CC53FA" w:rsidRPr="00014B8C">
        <w:rPr>
          <w:u w:val="single"/>
        </w:rPr>
        <w:tab/>
      </w:r>
      <w:r w:rsidR="00CC53FA" w:rsidRPr="00014B8C">
        <w:rPr>
          <w:u w:val="single"/>
        </w:rPr>
        <w:tab/>
      </w:r>
      <w:r w:rsidR="00CC53FA" w:rsidRPr="00014B8C">
        <w:rPr>
          <w:u w:val="single"/>
        </w:rPr>
        <w:tab/>
      </w:r>
      <w:r w:rsidR="00CC53FA" w:rsidRPr="00014B8C">
        <w:rPr>
          <w:u w:val="single"/>
        </w:rPr>
        <w:tab/>
      </w:r>
    </w:p>
    <w:p w14:paraId="5D646CEA" w14:textId="22F77903" w:rsidR="00F015FD" w:rsidRDefault="00FC579E" w:rsidP="00D55176">
      <w:pPr>
        <w:ind w:firstLine="720"/>
      </w:pPr>
      <w:r>
        <w:t>Dean Ruger’s allegations all relate to Professor Wax’s statements and writing</w:t>
      </w:r>
      <w:r w:rsidR="00014B8C">
        <w:t>s and e</w:t>
      </w:r>
      <w:r w:rsidR="00CC53FA">
        <w:t xml:space="preserve">verything </w:t>
      </w:r>
      <w:r w:rsidR="00342BD8">
        <w:t xml:space="preserve">she </w:t>
      </w:r>
      <w:r w:rsidR="00CC53FA">
        <w:t xml:space="preserve">is accused of saying is fully protected by the academic freedoms guaranteed to </w:t>
      </w:r>
      <w:r w:rsidR="00CC53FA">
        <w:lastRenderedPageBreak/>
        <w:t xml:space="preserve">her pursuant to </w:t>
      </w:r>
      <w:proofErr w:type="gramStart"/>
      <w:r w:rsidR="00CC53FA">
        <w:t>University</w:t>
      </w:r>
      <w:proofErr w:type="gramEnd"/>
      <w:r w:rsidR="00CC53FA">
        <w:t xml:space="preserve"> policy</w:t>
      </w:r>
      <w:r w:rsidR="00D161F1">
        <w:t xml:space="preserve">. </w:t>
      </w:r>
      <w:r w:rsidR="00A21029">
        <w:t xml:space="preserve"> Ex. A</w:t>
      </w:r>
      <w:r w:rsidR="00CC53FA">
        <w:t xml:space="preserve">.  As they all deal with </w:t>
      </w:r>
      <w:r w:rsidR="00863F4B">
        <w:t xml:space="preserve">questions of </w:t>
      </w:r>
      <w:r w:rsidR="00CC53FA">
        <w:t>academic freedom</w:t>
      </w:r>
      <w:r w:rsidR="00863F4B">
        <w:t xml:space="preserve"> of expression</w:t>
      </w:r>
      <w:r w:rsidR="00CC53FA">
        <w:t xml:space="preserve">, the Commission </w:t>
      </w:r>
      <w:r w:rsidR="00F5411E">
        <w:t xml:space="preserve">(through SCAFR) </w:t>
      </w:r>
      <w:r w:rsidR="00CC53FA">
        <w:t>has exclusive jurisdiction to adjudicate the</w:t>
      </w:r>
      <w:r w:rsidR="00DE0485">
        <w:t xml:space="preserve"> issues raised by his charges</w:t>
      </w:r>
      <w:r w:rsidR="00CC53FA">
        <w:t xml:space="preserve">.  Moreover, as explained, the charges lack merit and should be dismissed by the Commission as </w:t>
      </w:r>
      <w:r w:rsidR="00162EF7">
        <w:t>they amount to</w:t>
      </w:r>
      <w:r w:rsidR="007743DE">
        <w:t xml:space="preserve"> a</w:t>
      </w:r>
      <w:r w:rsidR="00CC53FA">
        <w:t xml:space="preserve"> blatant and naked attack on an</w:t>
      </w:r>
      <w:r w:rsidR="00A67E73">
        <w:t xml:space="preserve"> award-winning</w:t>
      </w:r>
      <w:r w:rsidR="00CC53FA">
        <w:t xml:space="preserve"> academic who </w:t>
      </w:r>
      <w:r>
        <w:t xml:space="preserve">disagrees with much of the </w:t>
      </w:r>
      <w:r w:rsidR="00A67E73">
        <w:t>prevailing</w:t>
      </w:r>
      <w:r>
        <w:t xml:space="preserve"> </w:t>
      </w:r>
      <w:r w:rsidR="0022314A">
        <w:t xml:space="preserve">progressive dogma </w:t>
      </w:r>
      <w:r>
        <w:t xml:space="preserve">on campus.  Dean Ruger is attempting to use the charging process set out in the </w:t>
      </w:r>
      <w:r w:rsidR="00A21029">
        <w:t>F</w:t>
      </w:r>
      <w:r>
        <w:t xml:space="preserve">aculty </w:t>
      </w:r>
      <w:r w:rsidR="00A21029">
        <w:t>H</w:t>
      </w:r>
      <w:r>
        <w:t xml:space="preserve">andbook to punish Professor Wax for dissenting from the </w:t>
      </w:r>
      <w:r w:rsidR="001317B5">
        <w:t xml:space="preserve">narrow </w:t>
      </w:r>
      <w:r>
        <w:t xml:space="preserve">orthodoxy that prevails at the University.  The </w:t>
      </w:r>
      <w:r w:rsidR="00B30CBA">
        <w:t xml:space="preserve">Commission </w:t>
      </w:r>
      <w:r>
        <w:t xml:space="preserve">should put a stop to this abuse.  </w:t>
      </w:r>
    </w:p>
    <w:p w14:paraId="3E12C469" w14:textId="05B650AA" w:rsidR="00F015FD" w:rsidRDefault="00D52EA0" w:rsidP="00D55176">
      <w:pPr>
        <w:ind w:firstLine="720"/>
      </w:pPr>
      <w:r>
        <w:t xml:space="preserve">The charges fall into categories and will be briefly addressed </w:t>
      </w:r>
      <w:r w:rsidR="00BD405C">
        <w:t>accordingly</w:t>
      </w:r>
      <w:r w:rsidR="00F015FD">
        <w:t>.</w:t>
      </w:r>
    </w:p>
    <w:p w14:paraId="6D3E9418" w14:textId="7877E380" w:rsidR="004250FD" w:rsidRDefault="00A154E5" w:rsidP="00F015FD">
      <w:pPr>
        <w:pStyle w:val="Heading2"/>
      </w:pPr>
      <w:bookmarkStart w:id="3" w:name="_Toc124755374"/>
      <w:r>
        <w:t>Teaching materials and guests</w:t>
      </w:r>
      <w:r w:rsidR="006425D4">
        <w:t>.</w:t>
      </w:r>
      <w:bookmarkEnd w:id="3"/>
    </w:p>
    <w:p w14:paraId="5F48123C" w14:textId="0580CDFC" w:rsidR="00A154E5" w:rsidRPr="00AB171C" w:rsidRDefault="00A154E5" w:rsidP="00A154E5">
      <w:pPr>
        <w:ind w:firstLine="720"/>
      </w:pPr>
      <w:r>
        <w:t xml:space="preserve">Prof. Wax teaches a </w:t>
      </w:r>
      <w:r w:rsidRPr="00A154E5">
        <w:t>Conservative Thought Seminar</w:t>
      </w:r>
      <w:r>
        <w:t xml:space="preserve">.  As the title suggests, it is about the history and content of conservative policies, politics, theory, and practice.  In connection with this </w:t>
      </w:r>
      <w:r w:rsidR="000A0E3B">
        <w:t>seminar,</w:t>
      </w:r>
      <w:r>
        <w:t xml:space="preserve"> she assigned an interview with Enoch Powell and invited </w:t>
      </w:r>
      <w:r w:rsidRPr="00DE4285">
        <w:t>Jared Taylor</w:t>
      </w:r>
      <w:r>
        <w:t xml:space="preserve"> to speak.</w:t>
      </w:r>
      <w:r w:rsidR="00EC0DFD">
        <w:t xml:space="preserve"> </w:t>
      </w:r>
      <w:r>
        <w:t xml:space="preserve">The University paid for the lunch </w:t>
      </w:r>
      <w:r w:rsidR="00156769">
        <w:t>during which</w:t>
      </w:r>
      <w:r w:rsidR="00EC0DFD">
        <w:t xml:space="preserve"> </w:t>
      </w:r>
      <w:r w:rsidR="00277BE4">
        <w:t xml:space="preserve">Mr. </w:t>
      </w:r>
      <w:r w:rsidR="00EC0DFD">
        <w:t>Taylor</w:t>
      </w:r>
      <w:r>
        <w:t xml:space="preserve"> </w:t>
      </w:r>
      <w:r w:rsidR="00AC60A0">
        <w:t>made his presentation.</w:t>
      </w:r>
      <w:r>
        <w:t xml:space="preserve">  </w:t>
      </w:r>
      <w:r w:rsidR="00EC0DFD">
        <w:t xml:space="preserve">Jared Taylor came to Penn to speak again this fall to students in </w:t>
      </w:r>
      <w:r w:rsidR="00F015FD">
        <w:t xml:space="preserve">Prof. </w:t>
      </w:r>
      <w:r w:rsidR="00EC0DFD">
        <w:t>Wax’s seminar</w:t>
      </w:r>
      <w:r w:rsidR="00C76897">
        <w:t>.  That session was successful and</w:t>
      </w:r>
      <w:r w:rsidR="00DD368D">
        <w:t xml:space="preserve"> without incident.</w:t>
      </w:r>
    </w:p>
    <w:p w14:paraId="246FAE79" w14:textId="0F61CFB0" w:rsidR="00461370" w:rsidRDefault="00DE59B9" w:rsidP="00F5411E">
      <w:pPr>
        <w:spacing w:before="240"/>
        <w:ind w:firstLine="720"/>
      </w:pPr>
      <w:r>
        <w:t xml:space="preserve">As explained in our prior filings, Jared Taylor is the head of an organization that is presently part of the conservative movement in the United States.  Therefore, it is fully appropriate for students in a seminar on Conservative Thought to hear from this speaker.  </w:t>
      </w:r>
      <w:r w:rsidR="00385516">
        <w:t xml:space="preserve">Prof. Wax’s choice of guest speaker and reading materials is fully protected by the academic freedoms guaranteed to her by virtue of her status as a tenured Member of the University.  </w:t>
      </w:r>
      <w:r w:rsidR="00A154E5">
        <w:t xml:space="preserve">“Academic freedom [of the teacher] comprises three elements: </w:t>
      </w:r>
      <w:r w:rsidR="00F5411E">
        <w:t xml:space="preserve"> </w:t>
      </w:r>
      <w:r w:rsidR="00A154E5">
        <w:t xml:space="preserve">freedom of inquiry and research; freedom of </w:t>
      </w:r>
      <w:r w:rsidR="00A154E5">
        <w:lastRenderedPageBreak/>
        <w:t>teaching within the university or college; and freedom of extra-mural utterance and action.”  1915 AAUP Declaration.</w:t>
      </w:r>
      <w:r w:rsidR="00FB150C">
        <w:rPr>
          <w:rStyle w:val="FootnoteReference"/>
        </w:rPr>
        <w:footnoteReference w:id="4"/>
      </w:r>
      <w:r w:rsidR="00A154E5">
        <w:t xml:space="preserve">  </w:t>
      </w:r>
      <w:r w:rsidR="00A95E58">
        <w:t xml:space="preserve">“[There are] </w:t>
      </w:r>
      <w:r w:rsidR="00A95E58" w:rsidRPr="00A95E58">
        <w:t>special dangers to freedom of teaching in the domain of the social sciences</w:t>
      </w:r>
      <w:r w:rsidR="00A95E58">
        <w:t xml:space="preserve">[.]”  </w:t>
      </w:r>
      <w:r w:rsidR="00A95E58">
        <w:rPr>
          <w:i/>
          <w:iCs/>
        </w:rPr>
        <w:t>Id.</w:t>
      </w:r>
      <w:r w:rsidR="00385516">
        <w:rPr>
          <w:i/>
          <w:iCs/>
        </w:rPr>
        <w:t xml:space="preserve">  </w:t>
      </w:r>
      <w:r w:rsidR="00385516">
        <w:t>“</w:t>
      </w:r>
      <w:r w:rsidR="00385516" w:rsidRPr="00385516">
        <w:t>Academic freedom in its teaching aspect is fundamental for the protection of the rights of the teacher in teaching and of the student to freedom in learning.”</w:t>
      </w:r>
      <w:r w:rsidR="00385516">
        <w:t xml:space="preserve">  1940 AAUP Statement of Principles.</w:t>
      </w:r>
      <w:r w:rsidR="00461370">
        <w:t xml:space="preserve">  “The teacher is entitled to freedom in the classroom in discussing his or her subject.”  Article 11.</w:t>
      </w:r>
      <w:r w:rsidR="00F5411E">
        <w:t>4(b).</w:t>
      </w:r>
    </w:p>
    <w:p w14:paraId="7AA3C191" w14:textId="15FFFB30" w:rsidR="00F33F5B" w:rsidRDefault="00A75264" w:rsidP="00A154E5">
      <w:pPr>
        <w:ind w:firstLine="720"/>
      </w:pPr>
      <w:r>
        <w:t xml:space="preserve">Enoch Powell was the </w:t>
      </w:r>
      <w:r w:rsidRPr="00A75264">
        <w:t>Secretary of State for Health and Social Care of the United Kingdom</w:t>
      </w:r>
      <w:r>
        <w:t xml:space="preserve">.  He was knighted and was </w:t>
      </w:r>
      <w:r w:rsidR="00E40EE0">
        <w:t xml:space="preserve">widely regarded as </w:t>
      </w:r>
      <w:r>
        <w:t xml:space="preserve">a </w:t>
      </w:r>
      <w:r w:rsidR="00891411">
        <w:t xml:space="preserve">respected </w:t>
      </w:r>
      <w:r>
        <w:t xml:space="preserve">classical scholar.  </w:t>
      </w:r>
      <w:r w:rsidRPr="00A75264">
        <w:t>During the Second World War, he served in both staff and intelligence positions, reaching the rank of brigadier.</w:t>
      </w:r>
      <w:r>
        <w:t xml:space="preserve">  He was, in 1968, harshly critical of </w:t>
      </w:r>
      <w:r w:rsidRPr="00A75264">
        <w:t>the rates of immigration into the U</w:t>
      </w:r>
      <w:r w:rsidR="00F33F5B">
        <w:t xml:space="preserve">nited </w:t>
      </w:r>
      <w:r w:rsidRPr="00A75264">
        <w:t>K</w:t>
      </w:r>
      <w:r w:rsidR="00F33F5B">
        <w:t>ingdom</w:t>
      </w:r>
      <w:r w:rsidRPr="00A75264">
        <w:t xml:space="preserve">, especially from the New Commonwealth, and </w:t>
      </w:r>
      <w:r>
        <w:t xml:space="preserve">he </w:t>
      </w:r>
      <w:r w:rsidRPr="00A75264">
        <w:t>opposed anti-discrimination legislation.</w:t>
      </w:r>
      <w:r w:rsidR="007B6063">
        <w:t xml:space="preserve">  Whether he was right or wrong, of course, is irrelevant.  The issue is whether the Dean of the Law School can seek to </w:t>
      </w:r>
      <w:r w:rsidR="00EB21B7">
        <w:t xml:space="preserve">sanction </w:t>
      </w:r>
      <w:r w:rsidR="007B6063">
        <w:t xml:space="preserve">a tenured Member of the University based on </w:t>
      </w:r>
      <w:r w:rsidR="00F53141">
        <w:t xml:space="preserve">assigning an interview with this individual in </w:t>
      </w:r>
      <w:r w:rsidR="00B97DA4">
        <w:t>her</w:t>
      </w:r>
      <w:r w:rsidR="007B6063">
        <w:t xml:space="preserve"> class.  </w:t>
      </w:r>
      <w:r w:rsidR="00F53141">
        <w:t xml:space="preserve">It is obvious that he cannot.  </w:t>
      </w:r>
      <w:r w:rsidR="00D07A3D">
        <w:t xml:space="preserve">Mr. </w:t>
      </w:r>
      <w:r w:rsidR="00F53141">
        <w:t>Powell’s views are pertinent to the subject matter of Prof</w:t>
      </w:r>
      <w:r w:rsidR="00D07A3D">
        <w:t xml:space="preserve">. </w:t>
      </w:r>
      <w:r w:rsidR="00F53141">
        <w:t xml:space="preserve">Wax’s seminar, and she is entitled to present that material to </w:t>
      </w:r>
      <w:r w:rsidR="00781855">
        <w:t>her students</w:t>
      </w:r>
      <w:r w:rsidR="00F53141">
        <w:t>.</w:t>
      </w:r>
    </w:p>
    <w:p w14:paraId="1B4AB655" w14:textId="2B3A0879" w:rsidR="007B6063" w:rsidRDefault="008278AB" w:rsidP="00A154E5">
      <w:pPr>
        <w:ind w:firstLine="720"/>
      </w:pPr>
      <w:r>
        <w:t>There is no valid basis for sanctioning Prof</w:t>
      </w:r>
      <w:r w:rsidR="002A2306">
        <w:t xml:space="preserve">. </w:t>
      </w:r>
      <w:r>
        <w:t xml:space="preserve">Wax for the conduct of her Conservative Thought class.  The </w:t>
      </w:r>
      <w:r w:rsidR="007B6063">
        <w:t>Dean’s charges are nothing more than an attempt to use the sanction process in the Handbook as a means</w:t>
      </w:r>
      <w:r>
        <w:t xml:space="preserve"> of punishing and silencing</w:t>
      </w:r>
      <w:r w:rsidR="007B6063">
        <w:t xml:space="preserve"> the most powerful </w:t>
      </w:r>
      <w:r w:rsidR="00A67E73">
        <w:t xml:space="preserve">dissenting </w:t>
      </w:r>
      <w:r w:rsidR="007B6063">
        <w:t xml:space="preserve">voice on </w:t>
      </w:r>
      <w:r w:rsidR="00895892">
        <w:t>campus and</w:t>
      </w:r>
      <w:r>
        <w:t xml:space="preserve"> preventing students from being exposed to important conservative ideas</w:t>
      </w:r>
      <w:r w:rsidR="007B6063">
        <w:t xml:space="preserve">.  </w:t>
      </w:r>
    </w:p>
    <w:p w14:paraId="606114DA" w14:textId="170A1297" w:rsidR="002E42FE" w:rsidRDefault="002E42FE" w:rsidP="006425D4">
      <w:pPr>
        <w:pStyle w:val="Heading2"/>
      </w:pPr>
      <w:bookmarkStart w:id="4" w:name="_Toc124755375"/>
      <w:r>
        <w:lastRenderedPageBreak/>
        <w:t>the impact of affirmative action on the law school</w:t>
      </w:r>
      <w:r w:rsidR="006425D4">
        <w:t>.</w:t>
      </w:r>
      <w:bookmarkEnd w:id="4"/>
    </w:p>
    <w:p w14:paraId="03E7017A" w14:textId="41D091B1" w:rsidR="006425D4" w:rsidRDefault="00572B8A" w:rsidP="006425D4">
      <w:pPr>
        <w:ind w:firstLine="720"/>
      </w:pPr>
      <w:r>
        <w:t>The words that Prof. Wax spoke outside of the classroom on the negative effects of affirmative action in higher education</w:t>
      </w:r>
      <w:r w:rsidR="00342BD8">
        <w:t>,</w:t>
      </w:r>
      <w:r>
        <w:t xml:space="preserve"> and at the </w:t>
      </w:r>
      <w:r w:rsidR="00342BD8">
        <w:t>L</w:t>
      </w:r>
      <w:r>
        <w:t xml:space="preserve">aw </w:t>
      </w:r>
      <w:r w:rsidR="00342BD8">
        <w:t>S</w:t>
      </w:r>
      <w:r>
        <w:t>chool in particular</w:t>
      </w:r>
      <w:r w:rsidR="0034328C">
        <w:t>,</w:t>
      </w:r>
      <w:r>
        <w:t xml:space="preserve"> cannot, as a matter of </w:t>
      </w:r>
      <w:proofErr w:type="gramStart"/>
      <w:r>
        <w:t>University</w:t>
      </w:r>
      <w:proofErr w:type="gramEnd"/>
      <w:r>
        <w:t xml:space="preserve"> policy, be grounds for </w:t>
      </w:r>
      <w:r w:rsidR="00577531">
        <w:t xml:space="preserve">any kind of sanction, </w:t>
      </w:r>
      <w:r w:rsidR="00663469">
        <w:t xml:space="preserve">let alone </w:t>
      </w:r>
      <w:r>
        <w:t xml:space="preserve">termination and loss of tenure.  </w:t>
      </w:r>
      <w:r w:rsidR="00CF2838">
        <w:t xml:space="preserve">And there are </w:t>
      </w:r>
      <w:r w:rsidR="006425D4">
        <w:t xml:space="preserve">three </w:t>
      </w:r>
      <w:r w:rsidR="00CF2838">
        <w:t xml:space="preserve">reasons for this:  (1) everything Prof. Wax said is </w:t>
      </w:r>
      <w:r w:rsidR="002E4378">
        <w:t xml:space="preserve">substantially accurate </w:t>
      </w:r>
      <w:r w:rsidR="00CF2838">
        <w:t xml:space="preserve">and can be verified by </w:t>
      </w:r>
      <w:r w:rsidR="00DB5CC0">
        <w:t>L</w:t>
      </w:r>
      <w:r w:rsidR="00CF2838">
        <w:t xml:space="preserve">aw </w:t>
      </w:r>
      <w:r w:rsidR="00DB5CC0">
        <w:t>S</w:t>
      </w:r>
      <w:r w:rsidR="00CF2838">
        <w:t xml:space="preserve">chool records and testimony from fellow </w:t>
      </w:r>
      <w:r w:rsidR="0034328C">
        <w:t>L</w:t>
      </w:r>
      <w:r w:rsidR="00CF2838">
        <w:t xml:space="preserve">aw </w:t>
      </w:r>
      <w:r w:rsidR="0034328C">
        <w:t>S</w:t>
      </w:r>
      <w:r w:rsidR="00CF2838">
        <w:t>chool professors (if they are honest); (2</w:t>
      </w:r>
      <w:r w:rsidR="006425D4">
        <w:t xml:space="preserve">) </w:t>
      </w:r>
      <w:r w:rsidR="00CF2838">
        <w:t>“</w:t>
      </w:r>
      <w:r w:rsidR="00CF2838" w:rsidRPr="00CF2838">
        <w:t xml:space="preserve">Academic freedom covers </w:t>
      </w:r>
      <w:r w:rsidR="00CF2838">
        <w:t>‘</w:t>
      </w:r>
      <w:r w:rsidR="00CF2838" w:rsidRPr="00CF2838">
        <w:t>Discipline-related teaching</w:t>
      </w:r>
      <w:r w:rsidR="00CF2838">
        <w:t xml:space="preserve"> . . . </w:t>
      </w:r>
      <w:r w:rsidR="00CF2838" w:rsidRPr="00CF2838">
        <w:t>outside the classroom</w:t>
      </w:r>
      <w:r w:rsidR="00CF2838">
        <w:t>’</w:t>
      </w:r>
      <w:r w:rsidR="00CF2838" w:rsidRPr="00CF2838">
        <w:t>”</w:t>
      </w:r>
      <w:r w:rsidR="006425D4">
        <w:t xml:space="preserve"> (</w:t>
      </w:r>
      <w:r w:rsidR="00CF2838">
        <w:t>OAH Guidelines</w:t>
      </w:r>
      <w:r w:rsidR="006425D4">
        <w:t>); and (3) a university “</w:t>
      </w:r>
      <w:r w:rsidR="006425D4" w:rsidRPr="006425D4">
        <w:t>cannot insist that all of its members favor a given view of social policy; if it takes collective action</w:t>
      </w:r>
      <w:r w:rsidR="006425D4">
        <w:t xml:space="preserve"> . . . </w:t>
      </w:r>
      <w:r w:rsidR="006425D4" w:rsidRPr="006425D4">
        <w:t>it does so at the price of censuring any minority who do not agree with the view adopted.”</w:t>
      </w:r>
      <w:r w:rsidR="006425D4">
        <w:t xml:space="preserve">  </w:t>
      </w:r>
      <w:r w:rsidR="00B031B6">
        <w:t xml:space="preserve">The </w:t>
      </w:r>
      <w:r w:rsidR="006425D4">
        <w:t>Kalven Report.</w:t>
      </w:r>
    </w:p>
    <w:p w14:paraId="02419675" w14:textId="546981BD" w:rsidR="00895892" w:rsidRDefault="00CF2838" w:rsidP="006068F4">
      <w:pPr>
        <w:ind w:firstLine="720"/>
      </w:pPr>
      <w:r>
        <w:t xml:space="preserve">Academic freedom gives tenured Members of the University the right to </w:t>
      </w:r>
      <w:r w:rsidR="00577531">
        <w:t>make</w:t>
      </w:r>
      <w:r w:rsidR="00895892">
        <w:t xml:space="preserve"> </w:t>
      </w:r>
      <w:r>
        <w:t>controversial statements on policy matters</w:t>
      </w:r>
      <w:r w:rsidR="00D7384C">
        <w:t>, including those</w:t>
      </w:r>
      <w:r>
        <w:t xml:space="preserve"> that </w:t>
      </w:r>
      <w:r w:rsidR="0022314A">
        <w:t xml:space="preserve">discuss </w:t>
      </w:r>
      <w:r>
        <w:t>minority groups</w:t>
      </w:r>
      <w:r w:rsidR="00895892">
        <w:t>:</w:t>
      </w:r>
    </w:p>
    <w:p w14:paraId="2EC5F4C2" w14:textId="5B557C2F" w:rsidR="00572B8A" w:rsidRDefault="00895892" w:rsidP="00895892">
      <w:pPr>
        <w:pStyle w:val="Quote"/>
      </w:pPr>
      <w:r>
        <w:t xml:space="preserve">[I]t is not . . . desirable that scholars should be debarred from giving expression to their judgments upon controversial questions, or that their freedom of speech, outside the university, should be limited to questions falling within their own specialties. . . .  And, speaking broadly, it may be said in the words of a nonacademic body already once quoted in a publication of the Association, that </w:t>
      </w:r>
      <w:r w:rsidR="0034328C">
        <w:t>‘</w:t>
      </w:r>
      <w:r>
        <w:t>it is neither possible nor desirable to deprive a college professor of the political rights vouchsafed to every citizen.</w:t>
      </w:r>
      <w:r w:rsidR="0034328C">
        <w:t>’</w:t>
      </w:r>
    </w:p>
    <w:p w14:paraId="4DF5D3B5" w14:textId="27149F7C" w:rsidR="00D4599A" w:rsidRDefault="00895892" w:rsidP="00D4599A">
      <w:pPr>
        <w:rPr>
          <w:b/>
          <w:bCs/>
        </w:rPr>
      </w:pPr>
      <w:r>
        <w:t>1915 AAUP Declaration.</w:t>
      </w:r>
      <w:r w:rsidR="00D4599A">
        <w:t xml:space="preserve">  The Handbook couldn’t be clearer</w:t>
      </w:r>
      <w:r w:rsidR="00B673DF">
        <w:t xml:space="preserve"> on the issue of faculty’s extra-mural speech</w:t>
      </w:r>
      <w:r w:rsidR="00D4599A">
        <w:t>:  “</w:t>
      </w:r>
      <w:r w:rsidR="00D4599A" w:rsidRPr="000B1338">
        <w:t>The University recognizes the importance of a system of tenure for faculty members as the preeminent means of fostering and protecting academic freedom in teaching and in scholarly inquiry.</w:t>
      </w:r>
      <w:r w:rsidR="00D4599A">
        <w:t xml:space="preserve">”  </w:t>
      </w:r>
      <w:r w:rsidR="0065040E">
        <w:t xml:space="preserve">Handbook, § II.A.  </w:t>
      </w:r>
      <w:r w:rsidR="00D4599A" w:rsidRPr="004B20B6">
        <w:t>This includes when “</w:t>
      </w:r>
      <w:r w:rsidR="00D4599A" w:rsidRPr="00D4599A">
        <w:rPr>
          <w:i/>
          <w:iCs/>
        </w:rPr>
        <w:t>speaking</w:t>
      </w:r>
      <w:r w:rsidR="00D4599A" w:rsidRPr="004B20B6">
        <w:t xml:space="preserve"> or writing </w:t>
      </w:r>
      <w:r w:rsidR="00D4599A" w:rsidRPr="00D4599A">
        <w:rPr>
          <w:i/>
          <w:iCs/>
        </w:rPr>
        <w:t>as an individual</w:t>
      </w:r>
      <w:r w:rsidR="00D4599A" w:rsidRPr="004B20B6">
        <w:t>”</w:t>
      </w:r>
      <w:r w:rsidR="00D4599A">
        <w:t xml:space="preserve"> (emphasis added). </w:t>
      </w:r>
    </w:p>
    <w:p w14:paraId="6FC136C9" w14:textId="1A1733A1" w:rsidR="00CF2838" w:rsidRDefault="00CF2838" w:rsidP="00C15774">
      <w:pPr>
        <w:pStyle w:val="Heading2"/>
      </w:pPr>
      <w:bookmarkStart w:id="5" w:name="_Toc124755376"/>
      <w:r>
        <w:lastRenderedPageBreak/>
        <w:t xml:space="preserve">observations of </w:t>
      </w:r>
      <w:r w:rsidR="000F3CDF">
        <w:t>U.S. minority groups</w:t>
      </w:r>
      <w:r w:rsidR="00C15774">
        <w:t>.</w:t>
      </w:r>
      <w:bookmarkEnd w:id="5"/>
    </w:p>
    <w:p w14:paraId="1372CA99" w14:textId="6003FBC5" w:rsidR="00DB5CC0" w:rsidRDefault="00F33F5B" w:rsidP="00F33F5B">
      <w:pPr>
        <w:ind w:firstLine="720"/>
      </w:pPr>
      <w:r>
        <w:t>Dean Ruger wants Prof. Wax</w:t>
      </w:r>
      <w:r w:rsidR="009D0804">
        <w:t xml:space="preserve"> penalized</w:t>
      </w:r>
      <w:r w:rsidR="000A0E3B">
        <w:t xml:space="preserve"> </w:t>
      </w:r>
      <w:r>
        <w:t xml:space="preserve">because she allegedly made comments about </w:t>
      </w:r>
      <w:r w:rsidR="0022314A">
        <w:t xml:space="preserve">certain racial, ethnic, or religious groups </w:t>
      </w:r>
      <w:r>
        <w:t xml:space="preserve">that he deems offensive and </w:t>
      </w:r>
      <w:r w:rsidR="00C667B3">
        <w:t>“</w:t>
      </w:r>
      <w:r>
        <w:t>racist.</w:t>
      </w:r>
      <w:r w:rsidR="00C667B3">
        <w:t>”</w:t>
      </w:r>
      <w:r>
        <w:t xml:space="preserve">  </w:t>
      </w:r>
      <w:r w:rsidR="00D74393">
        <w:t xml:space="preserve">Tenured Members of the University, however, cannot be terminated by making fact-based sociological observations about </w:t>
      </w:r>
      <w:r w:rsidR="005570A9">
        <w:t>ethnic</w:t>
      </w:r>
      <w:r w:rsidR="00F9631E">
        <w:t>, national,</w:t>
      </w:r>
      <w:r w:rsidR="005570A9">
        <w:t xml:space="preserve"> and </w:t>
      </w:r>
      <w:r w:rsidR="00D74393">
        <w:t>minority groups</w:t>
      </w:r>
      <w:r w:rsidR="005570A9">
        <w:t>, including those</w:t>
      </w:r>
      <w:r w:rsidR="00D74393">
        <w:t xml:space="preserve"> in the United States.  Even though </w:t>
      </w:r>
      <w:r w:rsidR="007D3DFE">
        <w:t>at times</w:t>
      </w:r>
      <w:r w:rsidR="00D74393">
        <w:t xml:space="preserve"> hard to hear or read, everything Prof. Wax is accused of saying finds support i</w:t>
      </w:r>
      <w:r w:rsidR="00577531">
        <w:t>n</w:t>
      </w:r>
      <w:r w:rsidR="00D74393">
        <w:t xml:space="preserve"> social science </w:t>
      </w:r>
      <w:r w:rsidR="00607BA5">
        <w:t xml:space="preserve">research </w:t>
      </w:r>
      <w:r w:rsidR="0043090C">
        <w:t xml:space="preserve">and other </w:t>
      </w:r>
      <w:r w:rsidR="000A0E3B">
        <w:t>empirically based</w:t>
      </w:r>
      <w:r w:rsidR="00F962CE">
        <w:t xml:space="preserve"> </w:t>
      </w:r>
      <w:r w:rsidR="0043090C">
        <w:t xml:space="preserve">sources </w:t>
      </w:r>
      <w:r w:rsidR="00607BA5">
        <w:t>and</w:t>
      </w:r>
      <w:r w:rsidR="00577531">
        <w:t xml:space="preserve"> has been expressed by various critics and commentators all over the country and the world. </w:t>
      </w:r>
      <w:r w:rsidR="00255DFD">
        <w:t xml:space="preserve"> </w:t>
      </w:r>
    </w:p>
    <w:p w14:paraId="094960D2" w14:textId="5F065DF2" w:rsidR="00317F9B" w:rsidRDefault="00255DFD" w:rsidP="008A6C6B">
      <w:pPr>
        <w:ind w:firstLine="720"/>
      </w:pPr>
      <w:r>
        <w:t>Whether</w:t>
      </w:r>
      <w:r w:rsidR="003441A9">
        <w:t xml:space="preserve"> these views</w:t>
      </w:r>
      <w:r w:rsidR="006B7C0E">
        <w:t>, opinions,</w:t>
      </w:r>
      <w:r w:rsidR="003441A9">
        <w:t xml:space="preserve"> and positions are meritorious, “correct,” or amply supported by evidence is hotly contested</w:t>
      </w:r>
      <w:r w:rsidR="00577531">
        <w:t xml:space="preserve"> </w:t>
      </w:r>
      <w:r w:rsidR="003441A9">
        <w:t xml:space="preserve">and is irrelevant to this </w:t>
      </w:r>
      <w:r w:rsidR="00C15774">
        <w:t>G</w:t>
      </w:r>
      <w:r w:rsidR="003441A9">
        <w:t xml:space="preserve">rievance and </w:t>
      </w:r>
      <w:r w:rsidR="00C15774">
        <w:t xml:space="preserve">the charges brought by Dean Ruger against </w:t>
      </w:r>
      <w:r w:rsidR="003441A9">
        <w:t>Prof</w:t>
      </w:r>
      <w:r w:rsidR="002A2306">
        <w:t xml:space="preserve">. </w:t>
      </w:r>
      <w:r w:rsidR="003441A9">
        <w:t xml:space="preserve">Wax.  </w:t>
      </w:r>
      <w:r w:rsidR="00B67E82">
        <w:t xml:space="preserve">The question is not whether </w:t>
      </w:r>
      <w:r w:rsidR="00C15774">
        <w:t xml:space="preserve">Prof. Wax </w:t>
      </w:r>
      <w:r w:rsidR="00B67E82">
        <w:t xml:space="preserve">is </w:t>
      </w:r>
      <w:r w:rsidR="00533390">
        <w:t xml:space="preserve">ultimately determined to be </w:t>
      </w:r>
      <w:r w:rsidR="00B67E82">
        <w:t>right on the merits</w:t>
      </w:r>
      <w:r w:rsidR="006B7C0E">
        <w:t xml:space="preserve"> </w:t>
      </w:r>
      <w:r w:rsidR="0022314A">
        <w:t>in every statement she made</w:t>
      </w:r>
      <w:r w:rsidR="00B67E82">
        <w:t xml:space="preserve">, but how the </w:t>
      </w:r>
      <w:r w:rsidR="00C15774">
        <w:t>U</w:t>
      </w:r>
      <w:r w:rsidR="00B67E82">
        <w:t xml:space="preserve">niversity should properly respond to her </w:t>
      </w:r>
      <w:r w:rsidR="006B7C0E">
        <w:t xml:space="preserve">assertions and </w:t>
      </w:r>
      <w:r w:rsidR="00B67E82">
        <w:t>expressions of opinion</w:t>
      </w:r>
      <w:r w:rsidR="002A2306">
        <w:t>s</w:t>
      </w:r>
      <w:r w:rsidR="00B67E82">
        <w:t xml:space="preserve">.  </w:t>
      </w:r>
      <w:r w:rsidR="00BD410D">
        <w:t>As the Kalven Report</w:t>
      </w:r>
      <w:r w:rsidR="00C15774">
        <w:t xml:space="preserve"> </w:t>
      </w:r>
      <w:r w:rsidR="00BD410D">
        <w:t>and other pertinent materials make clear</w:t>
      </w:r>
      <w:r w:rsidR="00C15774">
        <w:t xml:space="preserve"> (Ex. A)</w:t>
      </w:r>
      <w:r w:rsidR="00BD410D">
        <w:t xml:space="preserve">, the proper response </w:t>
      </w:r>
      <w:r w:rsidR="00294E5B">
        <w:t xml:space="preserve">of </w:t>
      </w:r>
      <w:r w:rsidR="00C67BD6">
        <w:t xml:space="preserve">University Members and leaders </w:t>
      </w:r>
      <w:r w:rsidR="00C15774">
        <w:t xml:space="preserve">to </w:t>
      </w:r>
      <w:r w:rsidR="003C15AA">
        <w:t xml:space="preserve">unwelcome </w:t>
      </w:r>
      <w:r w:rsidR="006B7C0E">
        <w:t xml:space="preserve">utterances </w:t>
      </w:r>
      <w:r w:rsidR="00C15774">
        <w:t xml:space="preserve">by a professor </w:t>
      </w:r>
      <w:r w:rsidR="00BD410D">
        <w:t xml:space="preserve">is not to condemn </w:t>
      </w:r>
      <w:r w:rsidR="00C15774">
        <w:t xml:space="preserve">her </w:t>
      </w:r>
      <w:r w:rsidR="00C67BD6">
        <w:t xml:space="preserve">and </w:t>
      </w:r>
      <w:r w:rsidR="00C15774">
        <w:t xml:space="preserve">certainly not </w:t>
      </w:r>
      <w:r w:rsidR="00BD410D">
        <w:t xml:space="preserve">to attempt to punish, penalize, silence, or exclude </w:t>
      </w:r>
      <w:r w:rsidR="00C15774">
        <w:t>her</w:t>
      </w:r>
      <w:r w:rsidR="003561AC">
        <w:t xml:space="preserve">.  </w:t>
      </w:r>
      <w:r w:rsidR="00C15774">
        <w:t xml:space="preserve">The response </w:t>
      </w:r>
      <w:r w:rsidR="003561AC">
        <w:t xml:space="preserve">is not to </w:t>
      </w:r>
      <w:r w:rsidR="00526933">
        <w:t xml:space="preserve">try to </w:t>
      </w:r>
      <w:r w:rsidR="003561AC">
        <w:t xml:space="preserve">impose an </w:t>
      </w:r>
      <w:r w:rsidR="00E84A56">
        <w:t xml:space="preserve">effective </w:t>
      </w:r>
      <w:r w:rsidR="003561AC">
        <w:t xml:space="preserve">orthodoxy of opinion </w:t>
      </w:r>
      <w:r w:rsidR="00693E0B">
        <w:t xml:space="preserve">at the Law School and University </w:t>
      </w:r>
      <w:r w:rsidR="00E84A56">
        <w:t xml:space="preserve">by </w:t>
      </w:r>
      <w:r w:rsidR="00693E0B">
        <w:t xml:space="preserve">publicly </w:t>
      </w:r>
      <w:r w:rsidR="00E84A56">
        <w:t xml:space="preserve">moving to </w:t>
      </w:r>
      <w:r w:rsidR="00C15774">
        <w:t>sanction her</w:t>
      </w:r>
      <w:r w:rsidR="003561AC">
        <w:t xml:space="preserve">.  Rather, it is to create an atmosphere in which such issues can be </w:t>
      </w:r>
      <w:r w:rsidR="00F86602">
        <w:t>civilly and openly debated based on reason, argument</w:t>
      </w:r>
      <w:r w:rsidR="00CF3B2B">
        <w:t>,</w:t>
      </w:r>
      <w:r w:rsidR="00F86602">
        <w:t xml:space="preserve"> and evidence</w:t>
      </w:r>
      <w:r w:rsidR="00E9016E">
        <w:t>.  This requires encouraging and expecting</w:t>
      </w:r>
      <w:r w:rsidR="00F86602">
        <w:t xml:space="preserve"> members of the </w:t>
      </w:r>
      <w:r w:rsidR="0065040E">
        <w:t>U</w:t>
      </w:r>
      <w:r w:rsidR="00F86602">
        <w:t xml:space="preserve">niversity to engage in such debate without fear or favor, and without official punishment or penalty.  </w:t>
      </w:r>
      <w:r w:rsidR="008A6C6B" w:rsidRPr="008A6C6B">
        <w:t xml:space="preserve">Instead of creating an atmosphere of honest, </w:t>
      </w:r>
      <w:r w:rsidR="001F0829">
        <w:t xml:space="preserve">courteous, </w:t>
      </w:r>
      <w:r w:rsidR="008A6C6B" w:rsidRPr="008A6C6B">
        <w:t xml:space="preserve">open </w:t>
      </w:r>
      <w:r w:rsidR="00FA2C49">
        <w:t>exchange</w:t>
      </w:r>
      <w:r w:rsidR="008A6C6B" w:rsidRPr="008A6C6B">
        <w:t xml:space="preserve">, Dean Ruger is attacking Prof. Wax without a valid justification and </w:t>
      </w:r>
      <w:r w:rsidR="0065040E">
        <w:t xml:space="preserve">is </w:t>
      </w:r>
      <w:r w:rsidR="008A6C6B" w:rsidRPr="008A6C6B">
        <w:t xml:space="preserve">trying to punish her via a sanctions hearing. </w:t>
      </w:r>
      <w:r w:rsidR="008A6C6B">
        <w:t xml:space="preserve"> </w:t>
      </w:r>
      <w:r w:rsidR="000A0E3B">
        <w:t xml:space="preserve">Dean </w:t>
      </w:r>
      <w:r w:rsidR="008478D2">
        <w:t>Ruger</w:t>
      </w:r>
      <w:r w:rsidR="00D05C65">
        <w:t xml:space="preserve">’s </w:t>
      </w:r>
      <w:r w:rsidR="00CC148B">
        <w:t xml:space="preserve">decision to seek </w:t>
      </w:r>
      <w:r w:rsidR="00A93A7D">
        <w:t xml:space="preserve">major </w:t>
      </w:r>
      <w:r w:rsidR="00CC148B">
        <w:t>sanctions against Prof. Wax</w:t>
      </w:r>
      <w:r w:rsidR="0074401C">
        <w:t xml:space="preserve"> </w:t>
      </w:r>
      <w:r w:rsidR="00540858">
        <w:t xml:space="preserve">undermines the </w:t>
      </w:r>
      <w:r w:rsidR="00540858">
        <w:lastRenderedPageBreak/>
        <w:t>integrity of the Law School</w:t>
      </w:r>
      <w:r w:rsidR="003C3872">
        <w:t xml:space="preserve"> and the education offered there</w:t>
      </w:r>
      <w:r w:rsidR="00B116E0">
        <w:t xml:space="preserve"> </w:t>
      </w:r>
      <w:r w:rsidR="00663291">
        <w:t xml:space="preserve">by signaling to the entire </w:t>
      </w:r>
      <w:r w:rsidR="00156573">
        <w:t>U</w:t>
      </w:r>
      <w:r w:rsidR="00663291">
        <w:t xml:space="preserve">niversity community that dissenting views will </w:t>
      </w:r>
      <w:r w:rsidR="00AC7EAC">
        <w:t xml:space="preserve">not be tolerated and will </w:t>
      </w:r>
      <w:r w:rsidR="00C06A57">
        <w:t xml:space="preserve">potentially </w:t>
      </w:r>
      <w:r w:rsidR="00663291">
        <w:t>be met with adverse consequences</w:t>
      </w:r>
      <w:r w:rsidR="00C06A57">
        <w:t>, including exclusion from the University</w:t>
      </w:r>
      <w:r w:rsidR="00540858">
        <w:t>.  That</w:t>
      </w:r>
      <w:r w:rsidR="00DC7889">
        <w:t xml:space="preserve"> message </w:t>
      </w:r>
      <w:r w:rsidR="00C06A57">
        <w:t>is heard loud and clear by</w:t>
      </w:r>
      <w:r w:rsidR="00DC7889">
        <w:t xml:space="preserve"> students</w:t>
      </w:r>
      <w:r w:rsidR="00156573">
        <w:t>,</w:t>
      </w:r>
      <w:r w:rsidR="00DC7889">
        <w:t xml:space="preserve"> </w:t>
      </w:r>
      <w:r w:rsidR="00D07A3D">
        <w:t>faculty,</w:t>
      </w:r>
      <w:r w:rsidR="00DC7889">
        <w:t xml:space="preserve"> </w:t>
      </w:r>
      <w:r w:rsidR="00156573">
        <w:t>and alumni</w:t>
      </w:r>
      <w:r w:rsidR="00DE4308">
        <w:t>, which</w:t>
      </w:r>
      <w:r w:rsidR="0001472E">
        <w:t xml:space="preserve"> has the inevitable effect of chilling expression </w:t>
      </w:r>
      <w:r w:rsidR="00735D6C">
        <w:t>of un</w:t>
      </w:r>
      <w:r w:rsidR="00045578">
        <w:t>approved</w:t>
      </w:r>
      <w:r w:rsidR="00477F1B">
        <w:t>, non-progressive</w:t>
      </w:r>
      <w:r w:rsidR="00735D6C">
        <w:t xml:space="preserve"> views </w:t>
      </w:r>
      <w:r w:rsidR="0001472E">
        <w:t xml:space="preserve">and </w:t>
      </w:r>
      <w:r w:rsidR="00DE4308">
        <w:t xml:space="preserve">preventing </w:t>
      </w:r>
      <w:r w:rsidR="00784C93">
        <w:t xml:space="preserve">the </w:t>
      </w:r>
      <w:r w:rsidR="0001472E">
        <w:t xml:space="preserve">balanced </w:t>
      </w:r>
      <w:r w:rsidR="009A387E">
        <w:t xml:space="preserve">presentation and </w:t>
      </w:r>
      <w:r w:rsidR="0001472E">
        <w:t>discussion of controversial topics</w:t>
      </w:r>
      <w:r w:rsidR="00DC7889">
        <w:t xml:space="preserve">. </w:t>
      </w:r>
    </w:p>
    <w:p w14:paraId="549BACE9" w14:textId="7D06E255" w:rsidR="00CD11B7" w:rsidRDefault="00FC7AE8" w:rsidP="000B3C4F">
      <w:pPr>
        <w:ind w:firstLine="720"/>
      </w:pPr>
      <w:r>
        <w:t xml:space="preserve">Each of the </w:t>
      </w:r>
      <w:r w:rsidR="00A93A7D">
        <w:t xml:space="preserve">ideas </w:t>
      </w:r>
      <w:r w:rsidR="0022330F">
        <w:t xml:space="preserve">and positions </w:t>
      </w:r>
      <w:r>
        <w:t xml:space="preserve">attributed to Prof. Wax that Dean Ruger </w:t>
      </w:r>
      <w:r w:rsidR="0022330F">
        <w:t xml:space="preserve">and </w:t>
      </w:r>
      <w:r w:rsidR="0074401C">
        <w:t xml:space="preserve">some </w:t>
      </w:r>
      <w:r w:rsidR="0022330F">
        <w:t>others might find</w:t>
      </w:r>
      <w:r>
        <w:t xml:space="preserve"> offensive are </w:t>
      </w:r>
      <w:r w:rsidR="004633D5">
        <w:t xml:space="preserve">presently </w:t>
      </w:r>
      <w:r w:rsidR="000B35F1">
        <w:t>part of the conversation</w:t>
      </w:r>
      <w:r w:rsidR="0022330F">
        <w:t xml:space="preserve"> among </w:t>
      </w:r>
      <w:r w:rsidR="00CB6662">
        <w:t xml:space="preserve">the full spectrum of </w:t>
      </w:r>
      <w:r w:rsidR="004633D5">
        <w:t xml:space="preserve">intellectuals, </w:t>
      </w:r>
      <w:r w:rsidR="0022330F">
        <w:t>policy analysts, researchers, politicians</w:t>
      </w:r>
      <w:r w:rsidR="007D43A7">
        <w:t>, and ordinary citizens</w:t>
      </w:r>
      <w:r w:rsidR="004633D5">
        <w:t xml:space="preserve"> in the United States</w:t>
      </w:r>
      <w:r w:rsidR="0022330F">
        <w:t xml:space="preserve">.  </w:t>
      </w:r>
      <w:r w:rsidR="00C445E4">
        <w:t>Universities t</w:t>
      </w:r>
      <w:r w:rsidR="0022330F">
        <w:t>oday</w:t>
      </w:r>
      <w:r w:rsidR="00C445E4">
        <w:t xml:space="preserve"> are squeezing </w:t>
      </w:r>
      <w:r w:rsidR="0022330F">
        <w:t>out many opinions that deviate from a narrow set of “approved” views</w:t>
      </w:r>
      <w:r w:rsidR="001061A6">
        <w:t>.  Th</w:t>
      </w:r>
      <w:r w:rsidR="00CD11B7">
        <w:t>e</w:t>
      </w:r>
      <w:r w:rsidR="00EF252D">
        <w:t xml:space="preserve"> </w:t>
      </w:r>
      <w:r w:rsidR="00FA458E">
        <w:t>result is</w:t>
      </w:r>
      <w:r w:rsidR="00EF252D">
        <w:t xml:space="preserve"> an unfortunate</w:t>
      </w:r>
      <w:r w:rsidR="00B06270">
        <w:t xml:space="preserve"> and</w:t>
      </w:r>
      <w:r w:rsidR="005B15FA">
        <w:t xml:space="preserve"> one-sided</w:t>
      </w:r>
      <w:r w:rsidR="00EF252D">
        <w:t xml:space="preserve"> narrowing of discourse </w:t>
      </w:r>
      <w:r w:rsidR="00B06270">
        <w:t xml:space="preserve">on campus </w:t>
      </w:r>
      <w:r w:rsidR="00BC2928">
        <w:t xml:space="preserve">that </w:t>
      </w:r>
      <w:r w:rsidR="002B63D4">
        <w:t>distorts</w:t>
      </w:r>
      <w:r w:rsidR="00BC2928">
        <w:t xml:space="preserve"> the </w:t>
      </w:r>
      <w:r w:rsidR="003A75C0">
        <w:t xml:space="preserve">quality and integrity of the </w:t>
      </w:r>
      <w:r w:rsidR="00BC2928">
        <w:t>education students and other</w:t>
      </w:r>
      <w:r w:rsidR="006B0FD8">
        <w:t>s</w:t>
      </w:r>
      <w:r w:rsidR="00BC2928">
        <w:t xml:space="preserve"> receive</w:t>
      </w:r>
      <w:r w:rsidR="00F00856">
        <w:t xml:space="preserve"> and fails accurately to reflect the pros and cons of many issues</w:t>
      </w:r>
      <w:r w:rsidR="00EF252D">
        <w:t xml:space="preserve">.  </w:t>
      </w:r>
    </w:p>
    <w:p w14:paraId="4D18C2DC" w14:textId="7ECC7CF4" w:rsidR="000B3C4F" w:rsidRPr="00B16B84" w:rsidRDefault="00203998" w:rsidP="000B3C4F">
      <w:pPr>
        <w:ind w:firstLine="720"/>
      </w:pPr>
      <w:r>
        <w:t xml:space="preserve">Because of the </w:t>
      </w:r>
      <w:r w:rsidR="005A118B">
        <w:t>narrowing of</w:t>
      </w:r>
      <w:r>
        <w:t xml:space="preserve"> opportunities</w:t>
      </w:r>
      <w:r w:rsidR="009152A7">
        <w:t xml:space="preserve"> within the University and Law School</w:t>
      </w:r>
      <w:r>
        <w:t xml:space="preserve"> for </w:t>
      </w:r>
      <w:r w:rsidR="005A118B">
        <w:t xml:space="preserve">exploring </w:t>
      </w:r>
      <w:r>
        <w:t xml:space="preserve">the full spectrum of </w:t>
      </w:r>
      <w:r w:rsidR="00043082">
        <w:t>ideas</w:t>
      </w:r>
      <w:r>
        <w:t xml:space="preserve"> </w:t>
      </w:r>
      <w:r w:rsidR="008F75E3">
        <w:t xml:space="preserve">in recent years, </w:t>
      </w:r>
      <w:r w:rsidR="0065040E">
        <w:t xml:space="preserve">Prof. </w:t>
      </w:r>
      <w:r w:rsidR="008F75E3">
        <w:t xml:space="preserve">Wax has </w:t>
      </w:r>
      <w:r w:rsidR="00545427">
        <w:t xml:space="preserve">accepted invitations to </w:t>
      </w:r>
      <w:r w:rsidR="00043082">
        <w:t>participate in</w:t>
      </w:r>
      <w:r w:rsidR="008F75E3">
        <w:t xml:space="preserve"> discussion</w:t>
      </w:r>
      <w:r w:rsidR="00043082">
        <w:t>s</w:t>
      </w:r>
      <w:r w:rsidR="008F75E3">
        <w:t xml:space="preserve"> outside the academy and in the media.  </w:t>
      </w:r>
      <w:r w:rsidR="00824671">
        <w:t>The</w:t>
      </w:r>
      <w:r w:rsidR="00FC7AE8">
        <w:t xml:space="preserve"> academic freedoms guaranteed to </w:t>
      </w:r>
      <w:r w:rsidR="00C445E4">
        <w:t xml:space="preserve">Prov. </w:t>
      </w:r>
      <w:r w:rsidR="00CB6662">
        <w:t xml:space="preserve">Wax </w:t>
      </w:r>
      <w:r w:rsidR="00824671">
        <w:t xml:space="preserve">as a tenured faculty Member of the University </w:t>
      </w:r>
      <w:r w:rsidR="003D2F78">
        <w:t xml:space="preserve">permit </w:t>
      </w:r>
      <w:r w:rsidR="00FC7AE8">
        <w:t xml:space="preserve">her to </w:t>
      </w:r>
      <w:r w:rsidR="00EF252D">
        <w:t xml:space="preserve">express positions </w:t>
      </w:r>
      <w:r w:rsidR="00A655A5">
        <w:t xml:space="preserve">in the media and elsewhere </w:t>
      </w:r>
      <w:r w:rsidR="00EF252D">
        <w:t>that are uncommon</w:t>
      </w:r>
      <w:r w:rsidR="00433905">
        <w:t xml:space="preserve"> or unpopular</w:t>
      </w:r>
      <w:r w:rsidR="00EF252D">
        <w:t xml:space="preserve"> in academia</w:t>
      </w:r>
      <w:r w:rsidR="00FC7AE8">
        <w:t xml:space="preserve">, no matter how much </w:t>
      </w:r>
      <w:r w:rsidR="00F24418">
        <w:t>they upset</w:t>
      </w:r>
      <w:r w:rsidR="00FC7AE8">
        <w:t xml:space="preserve"> individuals</w:t>
      </w:r>
      <w:r w:rsidR="00F208C8">
        <w:t>, including students,</w:t>
      </w:r>
      <w:r w:rsidR="00FC7AE8">
        <w:t xml:space="preserve"> </w:t>
      </w:r>
      <w:r w:rsidR="00F263FD">
        <w:t xml:space="preserve">alumni, and other University Members </w:t>
      </w:r>
      <w:r w:rsidR="00F24418">
        <w:t>who disagree</w:t>
      </w:r>
      <w:r w:rsidR="00FC7AE8">
        <w:t xml:space="preserve">.  </w:t>
      </w:r>
      <w:r w:rsidR="00D566C2">
        <w:t>“Academic freedom [of the teacher includes the] freedom of extra-mural utterance</w:t>
      </w:r>
      <w:r w:rsidR="00CC5B5D">
        <w:t>[</w:t>
      </w:r>
      <w:r w:rsidR="00D566C2">
        <w:t>.</w:t>
      </w:r>
      <w:r w:rsidR="00CC5B5D">
        <w:t>]</w:t>
      </w:r>
      <w:r w:rsidR="00D566C2">
        <w:t>”  1915 AAUP Declaration.  “[T]he right of university teachers to express their opinions freely outside the university . . . [has an importance of its own</w:t>
      </w:r>
      <w:r w:rsidR="00DE5C37">
        <w:t xml:space="preserve"> . . .]</w:t>
      </w:r>
      <w:r w:rsidR="00D566C2">
        <w:t xml:space="preserve">.”  </w:t>
      </w:r>
      <w:r w:rsidR="00D566C2">
        <w:rPr>
          <w:i/>
          <w:iCs/>
        </w:rPr>
        <w:t>Id.</w:t>
      </w:r>
      <w:r w:rsidR="00BF4AC7">
        <w:rPr>
          <w:i/>
          <w:iCs/>
        </w:rPr>
        <w:t xml:space="preserve">  </w:t>
      </w:r>
      <w:r w:rsidR="00BF4AC7">
        <w:t xml:space="preserve">“It is scarcely </w:t>
      </w:r>
      <w:r w:rsidR="00BF4AC7">
        <w:lastRenderedPageBreak/>
        <w:t xml:space="preserve">open to question that freedom of utterance is as important to the teacher as it is to the investigator.”  </w:t>
      </w:r>
      <w:r w:rsidR="00BF4AC7">
        <w:rPr>
          <w:i/>
          <w:iCs/>
        </w:rPr>
        <w:t>Id</w:t>
      </w:r>
      <w:r w:rsidR="00BF4AC7">
        <w:t>.</w:t>
      </w:r>
      <w:r w:rsidR="00E14BE3">
        <w:t xml:space="preserve">  “The controlling principle is that a faculty member’s expression of opinion as a citizen cannot constitute grounds for dismissal </w:t>
      </w:r>
      <w:r w:rsidR="00E14BE3" w:rsidRPr="00F72B98">
        <w:rPr>
          <w:i/>
          <w:iCs/>
        </w:rPr>
        <w:t>unless it clearly demonstrates the faculty member’s unfitness for his or her position</w:t>
      </w:r>
      <w:r w:rsidR="00E14BE3">
        <w:t xml:space="preserve">.” </w:t>
      </w:r>
      <w:r w:rsidR="00B16B84">
        <w:t xml:space="preserve"> 1964 AAUP Committee Statement</w:t>
      </w:r>
      <w:r w:rsidR="00C445E4">
        <w:t xml:space="preserve"> (e</w:t>
      </w:r>
      <w:r w:rsidR="00C445E4" w:rsidRPr="00C445E4">
        <w:t>mphasis added</w:t>
      </w:r>
      <w:r w:rsidR="00C445E4">
        <w:t>)</w:t>
      </w:r>
      <w:r w:rsidR="00B16B84">
        <w:t xml:space="preserve">.  </w:t>
      </w:r>
      <w:r w:rsidR="00E14BE3">
        <w:t>“Extramural utterances rarely bear upon the faculty member’s fitness for the position</w:t>
      </w:r>
      <w:r w:rsidR="0065040E">
        <w:t xml:space="preserve"> [and] [m]</w:t>
      </w:r>
      <w:r w:rsidR="00E14BE3">
        <w:t>oreover, a final decision should take into account the faculty member’s entire record as a teacher and scholar.”</w:t>
      </w:r>
      <w:r w:rsidR="00B16B84">
        <w:t xml:space="preserve">  </w:t>
      </w:r>
      <w:r w:rsidR="00B16B84">
        <w:rPr>
          <w:i/>
          <w:iCs/>
        </w:rPr>
        <w:t>Id</w:t>
      </w:r>
      <w:r w:rsidR="00B16B84">
        <w:t xml:space="preserve">.  </w:t>
      </w:r>
      <w:r w:rsidR="000B3C4F">
        <w:t>“Our basic conviction is that a great university can perform greatly for the betterment of society</w:t>
      </w:r>
      <w:r w:rsidR="009555C4">
        <w:t xml:space="preserve"> [and] [i]</w:t>
      </w:r>
      <w:r w:rsidR="000B3C4F">
        <w:t>t should not, therefore, permit itself to be diverted from its mission into playing the role of a second-rate political force or influence.”  The Kalven Report.</w:t>
      </w:r>
    </w:p>
    <w:p w14:paraId="54D307FA" w14:textId="1EBCB696" w:rsidR="00FC7AE8" w:rsidRPr="00016E2C" w:rsidRDefault="00FC7AE8" w:rsidP="003A1540">
      <w:pPr>
        <w:ind w:firstLine="720"/>
      </w:pPr>
      <w:r>
        <w:t>Dean Ruger does no</w:t>
      </w:r>
      <w:r w:rsidR="003A1540">
        <w:t>t</w:t>
      </w:r>
      <w:r>
        <w:t xml:space="preserve"> accuse </w:t>
      </w:r>
      <w:r w:rsidR="009555C4">
        <w:t xml:space="preserve">Prof. </w:t>
      </w:r>
      <w:r w:rsidR="00F24418">
        <w:t>Wax of uttering epithets or taking</w:t>
      </w:r>
      <w:r w:rsidR="00016E2C">
        <w:t xml:space="preserve"> any </w:t>
      </w:r>
      <w:r w:rsidR="00016E2C">
        <w:rPr>
          <w:i/>
          <w:iCs/>
        </w:rPr>
        <w:t>action</w:t>
      </w:r>
      <w:r w:rsidR="00016E2C">
        <w:t xml:space="preserve"> against a</w:t>
      </w:r>
      <w:r w:rsidR="009C5046">
        <w:t>ny</w:t>
      </w:r>
      <w:r w:rsidR="00016E2C">
        <w:t xml:space="preserve"> member of </w:t>
      </w:r>
      <w:r w:rsidR="005E66DD">
        <w:t xml:space="preserve">any </w:t>
      </w:r>
      <w:r w:rsidR="00016E2C">
        <w:t xml:space="preserve">group.  Rather, she offered observations </w:t>
      </w:r>
      <w:r w:rsidR="00AD7436">
        <w:t xml:space="preserve">and generalizations </w:t>
      </w:r>
      <w:r w:rsidR="00016E2C">
        <w:t xml:space="preserve">that some might find </w:t>
      </w:r>
      <w:r w:rsidR="00E1745C">
        <w:t xml:space="preserve">offensive or </w:t>
      </w:r>
      <w:r w:rsidR="00471475">
        <w:t>upsetting or believe to be invalid</w:t>
      </w:r>
      <w:r w:rsidR="00016E2C">
        <w:t xml:space="preserve"> but</w:t>
      </w:r>
      <w:r w:rsidR="009C7E7B">
        <w:t xml:space="preserve"> that</w:t>
      </w:r>
      <w:r w:rsidR="00016E2C">
        <w:t xml:space="preserve"> </w:t>
      </w:r>
      <w:r w:rsidR="00F1082B">
        <w:t xml:space="preserve">fall within </w:t>
      </w:r>
      <w:r w:rsidR="00016E2C">
        <w:t xml:space="preserve">legitimate arenas of </w:t>
      </w:r>
      <w:r w:rsidR="003F7296">
        <w:t xml:space="preserve">public concern and </w:t>
      </w:r>
      <w:r w:rsidR="00016E2C">
        <w:t xml:space="preserve">discourse.  </w:t>
      </w:r>
      <w:r w:rsidR="002331A1">
        <w:t xml:space="preserve">Dean Ruger’s decision to use the Handbook’s sanction process to </w:t>
      </w:r>
      <w:r w:rsidR="003408C4">
        <w:t xml:space="preserve">impose “major sanctions” on </w:t>
      </w:r>
      <w:r w:rsidR="002331A1">
        <w:t>Prof. Wax based on these “extra mural utterances” and “opinions”</w:t>
      </w:r>
      <w:r w:rsidR="001C2372">
        <w:t xml:space="preserve"> – whether made on campus or off </w:t>
      </w:r>
      <w:r w:rsidR="003E030C">
        <w:t xml:space="preserve">– is </w:t>
      </w:r>
      <w:r w:rsidR="002331A1">
        <w:t xml:space="preserve">an attack on her academic freedom and, as such, can only be determined by the Commission.  </w:t>
      </w:r>
      <w:r w:rsidR="00E0559E">
        <w:t xml:space="preserve">Moreover, </w:t>
      </w:r>
      <w:r w:rsidR="003E030C">
        <w:t>e</w:t>
      </w:r>
      <w:r w:rsidR="00F24418">
        <w:t>ven</w:t>
      </w:r>
      <w:r w:rsidR="002331A1">
        <w:t xml:space="preserve"> accepting as </w:t>
      </w:r>
      <w:r w:rsidR="00F24418">
        <w:t xml:space="preserve">accurate </w:t>
      </w:r>
      <w:r w:rsidR="002331A1">
        <w:t xml:space="preserve">every word attributed to her, nothing Prof. Wax </w:t>
      </w:r>
      <w:r w:rsidR="005A76A1">
        <w:t>has said is</w:t>
      </w:r>
      <w:r w:rsidR="00AE3AE1">
        <w:t xml:space="preserve"> </w:t>
      </w:r>
      <w:r w:rsidR="002331A1">
        <w:t xml:space="preserve">prohibited </w:t>
      </w:r>
      <w:r w:rsidR="00AE3AE1">
        <w:t xml:space="preserve">by explicit or articulated University rules </w:t>
      </w:r>
      <w:r w:rsidR="002331A1">
        <w:t xml:space="preserve">or </w:t>
      </w:r>
      <w:r w:rsidR="005A76A1">
        <w:t>outside the protections</w:t>
      </w:r>
      <w:r w:rsidR="000E7E10">
        <w:t xml:space="preserve"> of</w:t>
      </w:r>
      <w:r w:rsidR="002331A1">
        <w:t xml:space="preserve"> the academic freedoms guaranteed to her by </w:t>
      </w:r>
      <w:proofErr w:type="gramStart"/>
      <w:r w:rsidR="002331A1">
        <w:t>University</w:t>
      </w:r>
      <w:proofErr w:type="gramEnd"/>
      <w:r w:rsidR="002331A1">
        <w:t xml:space="preserve"> policy.</w:t>
      </w:r>
    </w:p>
    <w:p w14:paraId="3E4EA388" w14:textId="78255E36" w:rsidR="000F3CDF" w:rsidRDefault="003A1540" w:rsidP="0044532D">
      <w:pPr>
        <w:pStyle w:val="Heading2"/>
      </w:pPr>
      <w:bookmarkStart w:id="6" w:name="_Toc124755377"/>
      <w:r>
        <w:t>MISUSE of the rodriguez report</w:t>
      </w:r>
      <w:r w:rsidR="00A105DF">
        <w:t>.</w:t>
      </w:r>
      <w:bookmarkEnd w:id="6"/>
    </w:p>
    <w:p w14:paraId="654B3B41" w14:textId="78EC4E5E" w:rsidR="00EF535C" w:rsidRDefault="00DD6CFB" w:rsidP="00EF535C">
      <w:pPr>
        <w:spacing w:before="240"/>
        <w:ind w:firstLine="720"/>
      </w:pPr>
      <w:r>
        <w:t>On June 23, 2022, Dean Ruger asked the Chair of the Faculty Senate to convene a Hearing Board.  In so doing, he state</w:t>
      </w:r>
      <w:r w:rsidR="00582CCC">
        <w:t>d</w:t>
      </w:r>
      <w:r>
        <w:t xml:space="preserve"> that an August 3, </w:t>
      </w:r>
      <w:proofErr w:type="gramStart"/>
      <w:r>
        <w:t>2021</w:t>
      </w:r>
      <w:proofErr w:type="gramEnd"/>
      <w:r>
        <w:t xml:space="preserve"> report issued by Prof. Daniel </w:t>
      </w:r>
      <w:r>
        <w:lastRenderedPageBreak/>
        <w:t xml:space="preserve">Rodriguez (the “Rodriguez Report”) </w:t>
      </w:r>
      <w:r w:rsidR="00EF535C" w:rsidRPr="00D43275">
        <w:t xml:space="preserve">“credited many of the allegations made against </w:t>
      </w:r>
      <w:r w:rsidR="005E0717">
        <w:t xml:space="preserve">Prof. </w:t>
      </w:r>
      <w:r w:rsidR="00EF535C" w:rsidRPr="00D43275">
        <w:t>Wax.”</w:t>
      </w:r>
      <w:r w:rsidR="0044532D">
        <w:rPr>
          <w:rStyle w:val="FootnoteReference"/>
        </w:rPr>
        <w:footnoteReference w:id="5"/>
      </w:r>
      <w:r w:rsidR="00EF535C" w:rsidRPr="00D43275">
        <w:t xml:space="preserve">  </w:t>
      </w:r>
      <w:r w:rsidR="00D441C3">
        <w:t xml:space="preserve">Aug. Memo, Ex. 4 at 2.  </w:t>
      </w:r>
      <w:r w:rsidR="00EF535C" w:rsidRPr="00D43275">
        <w:t>He also state</w:t>
      </w:r>
      <w:r w:rsidR="00582CCC">
        <w:t xml:space="preserve">d </w:t>
      </w:r>
      <w:r w:rsidR="00EF535C" w:rsidRPr="00D43275">
        <w:t xml:space="preserve">that the </w:t>
      </w:r>
      <w:r w:rsidR="0065040E">
        <w:t xml:space="preserve">Rodriguez </w:t>
      </w:r>
      <w:r w:rsidR="00EF535C" w:rsidRPr="00D43275">
        <w:t xml:space="preserve">Report “revealed additional instances of inappropriate conduct” </w:t>
      </w:r>
      <w:r w:rsidR="00EF535C">
        <w:t>(</w:t>
      </w:r>
      <w:r w:rsidR="00EF535C">
        <w:rPr>
          <w:i/>
          <w:iCs/>
        </w:rPr>
        <w:t>id.</w:t>
      </w:r>
      <w:r w:rsidR="00EF535C">
        <w:t xml:space="preserve">), </w:t>
      </w:r>
      <w:r w:rsidR="00EF535C" w:rsidRPr="00D43275">
        <w:t xml:space="preserve">but </w:t>
      </w:r>
      <w:r w:rsidR="00EF535C">
        <w:t xml:space="preserve">he </w:t>
      </w:r>
      <w:r w:rsidR="00EF535C" w:rsidRPr="00D43275">
        <w:t>identifie</w:t>
      </w:r>
      <w:r w:rsidR="00582CCC">
        <w:t>d</w:t>
      </w:r>
      <w:r w:rsidR="00EF535C" w:rsidRPr="00D43275">
        <w:t xml:space="preserve"> no examples or details.  </w:t>
      </w:r>
      <w:r w:rsidR="00EF535C">
        <w:t xml:space="preserve">The Dean’s </w:t>
      </w:r>
      <w:r w:rsidR="00EF535C" w:rsidRPr="00D43275">
        <w:t xml:space="preserve">description of the Rodriguez </w:t>
      </w:r>
      <w:r w:rsidR="00EF535C">
        <w:t>R</w:t>
      </w:r>
      <w:r w:rsidR="00EF535C" w:rsidRPr="00D43275">
        <w:t xml:space="preserve">eport is inaccurate, to say the least, and </w:t>
      </w:r>
      <w:r w:rsidR="00EF535C">
        <w:t xml:space="preserve">it </w:t>
      </w:r>
      <w:r w:rsidR="00EF535C" w:rsidRPr="00D43275">
        <w:t>completely ignores findings</w:t>
      </w:r>
      <w:r w:rsidR="00EF535C">
        <w:t xml:space="preserve"> that, in fact, </w:t>
      </w:r>
      <w:r w:rsidR="00B70720">
        <w:rPr>
          <w:i/>
          <w:iCs/>
        </w:rPr>
        <w:t>contradict</w:t>
      </w:r>
      <w:r w:rsidR="00DF45CA">
        <w:rPr>
          <w:i/>
          <w:iCs/>
        </w:rPr>
        <w:t xml:space="preserve"> and cast doubt on</w:t>
      </w:r>
      <w:r w:rsidR="00EF535C" w:rsidRPr="00D43275">
        <w:t xml:space="preserve"> the charges against </w:t>
      </w:r>
      <w:r w:rsidR="00EF535C">
        <w:t xml:space="preserve">Prof. </w:t>
      </w:r>
      <w:r w:rsidR="00EF535C" w:rsidRPr="00D43275">
        <w:t xml:space="preserve">Wax or state conclusions in her favor.  </w:t>
      </w:r>
      <w:r w:rsidR="00F00B7F">
        <w:t xml:space="preserve">Dean Ruger’s dishonest misuse of the Rodriguez </w:t>
      </w:r>
      <w:r w:rsidR="0065040E">
        <w:t>R</w:t>
      </w:r>
      <w:r w:rsidR="00F00B7F">
        <w:t xml:space="preserve">eport, </w:t>
      </w:r>
      <w:r w:rsidR="00F307E7">
        <w:t>in addition to</w:t>
      </w:r>
      <w:r w:rsidR="00F00B7F">
        <w:t xml:space="preserve"> </w:t>
      </w:r>
      <w:r w:rsidR="00C12463">
        <w:t xml:space="preserve">his </w:t>
      </w:r>
      <w:r w:rsidR="00F00B7F">
        <w:t xml:space="preserve">failure to disclose it to </w:t>
      </w:r>
      <w:r w:rsidR="00D1582B">
        <w:t xml:space="preserve">Prof. </w:t>
      </w:r>
      <w:r w:rsidR="00F00B7F">
        <w:t xml:space="preserve">Wax for many months, constitute a clear abuse of his position and his authority </w:t>
      </w:r>
      <w:r w:rsidR="009F09BD">
        <w:t>in service of</w:t>
      </w:r>
      <w:r w:rsidR="000B0254">
        <w:t xml:space="preserve"> his </w:t>
      </w:r>
      <w:r w:rsidR="007A61DC">
        <w:t>wholly unjustified</w:t>
      </w:r>
      <w:r w:rsidR="00DF6B8A">
        <w:t xml:space="preserve"> effort to</w:t>
      </w:r>
      <w:r w:rsidR="000B0254">
        <w:t xml:space="preserve"> </w:t>
      </w:r>
      <w:r w:rsidR="00F00B7F">
        <w:t xml:space="preserve">punish </w:t>
      </w:r>
      <w:r w:rsidR="0065040E">
        <w:t xml:space="preserve">Prof. </w:t>
      </w:r>
      <w:r w:rsidR="00F00B7F">
        <w:t>Wax for speech, political opinions, and expression.  This abuse calls out for correction through the grievance process.</w:t>
      </w:r>
    </w:p>
    <w:p w14:paraId="5413499C" w14:textId="0B22EFD6" w:rsidR="00623FD0" w:rsidRDefault="00EF535C" w:rsidP="00623FD0">
      <w:pPr>
        <w:ind w:firstLine="720"/>
      </w:pPr>
      <w:r>
        <w:t xml:space="preserve">Attached to </w:t>
      </w:r>
      <w:r w:rsidR="001F03EF">
        <w:t>the Aug. Mem</w:t>
      </w:r>
      <w:r w:rsidR="00EB1918">
        <w:t>o</w:t>
      </w:r>
      <w:r w:rsidR="001F03EF">
        <w:t xml:space="preserve"> </w:t>
      </w:r>
      <w:r>
        <w:t xml:space="preserve">as Exhibit </w:t>
      </w:r>
      <w:r w:rsidR="0065040E">
        <w:t>10</w:t>
      </w:r>
      <w:r w:rsidR="001F03EF">
        <w:t xml:space="preserve"> </w:t>
      </w:r>
      <w:r>
        <w:t>is</w:t>
      </w:r>
      <w:bookmarkStart w:id="7" w:name="_Hlk112161317"/>
      <w:r>
        <w:t xml:space="preserve"> Prof. Wax’s motion </w:t>
      </w:r>
      <w:r w:rsidR="00C93F2D">
        <w:t xml:space="preserve">to </w:t>
      </w:r>
      <w:r>
        <w:t>disqualif</w:t>
      </w:r>
      <w:r w:rsidR="00C93F2D">
        <w:t xml:space="preserve">y </w:t>
      </w:r>
      <w:r>
        <w:t xml:space="preserve">Dean Ruger as </w:t>
      </w:r>
      <w:r w:rsidR="001F03EF">
        <w:t xml:space="preserve">the </w:t>
      </w:r>
      <w:r>
        <w:t>Charging Party.</w:t>
      </w:r>
      <w:bookmarkEnd w:id="7"/>
      <w:r>
        <w:t xml:space="preserve">  In that document, Prof. Wax discusses in detail the many ways Dean Ruger </w:t>
      </w:r>
      <w:r w:rsidRPr="00D43275">
        <w:t xml:space="preserve">ignores important aspects of the Rodriguez </w:t>
      </w:r>
      <w:r>
        <w:t>R</w:t>
      </w:r>
      <w:r w:rsidRPr="00D43275">
        <w:t>eport</w:t>
      </w:r>
      <w:r w:rsidR="00582CCC">
        <w:t xml:space="preserve">.  The Dean repeats </w:t>
      </w:r>
      <w:r w:rsidR="00517249">
        <w:t xml:space="preserve">and relies on </w:t>
      </w:r>
      <w:r w:rsidRPr="00D43275">
        <w:t xml:space="preserve">accusations based on </w:t>
      </w:r>
      <w:r>
        <w:t xml:space="preserve">Prof. </w:t>
      </w:r>
      <w:r w:rsidRPr="00D43275">
        <w:t xml:space="preserve">Wax’s alleged stray remarks that </w:t>
      </w:r>
      <w:r w:rsidR="00582CCC">
        <w:t xml:space="preserve">Prof. Rodriguez </w:t>
      </w:r>
      <w:r w:rsidRPr="00D43275">
        <w:t xml:space="preserve">found to be inconsequential, ambiguous, potentially inaccurate, </w:t>
      </w:r>
      <w:r>
        <w:t xml:space="preserve">unsupported, </w:t>
      </w:r>
      <w:r w:rsidRPr="00D43275">
        <w:t xml:space="preserve">or exaggerated.  For example, the </w:t>
      </w:r>
      <w:r w:rsidR="001F03EF">
        <w:t>c</w:t>
      </w:r>
      <w:r w:rsidRPr="00D43275">
        <w:t>harges cite</w:t>
      </w:r>
      <w:r>
        <w:t xml:space="preserve"> </w:t>
      </w:r>
      <w:r w:rsidRPr="00D43275">
        <w:t xml:space="preserve">student objections to a comment </w:t>
      </w:r>
      <w:r>
        <w:t xml:space="preserve">Prof. </w:t>
      </w:r>
      <w:r w:rsidRPr="00D43275">
        <w:t xml:space="preserve">Wax </w:t>
      </w:r>
      <w:r w:rsidR="001F3B3F">
        <w:t xml:space="preserve">allegedly </w:t>
      </w:r>
      <w:r w:rsidRPr="00D43275">
        <w:t>made at a panel discussion at Penn Law held years ago that “you can have two plants that grow under the same conditions, and one will just grow higher than the other.”  After analyzing the remark and its context, Prof</w:t>
      </w:r>
      <w:r>
        <w:t xml:space="preserve">. </w:t>
      </w:r>
      <w:r w:rsidRPr="00D43275">
        <w:t xml:space="preserve">Rodriguez stated that he “cannot conclude that this statement was derogatory under the clear definition of that term.”  </w:t>
      </w:r>
      <w:r>
        <w:t>(</w:t>
      </w:r>
      <w:r w:rsidR="001F03EF">
        <w:t>Aug. Mem</w:t>
      </w:r>
      <w:r w:rsidR="00EB1918">
        <w:t>o</w:t>
      </w:r>
      <w:r w:rsidR="008B4EF0">
        <w:t>,</w:t>
      </w:r>
      <w:r w:rsidR="001F03EF">
        <w:t xml:space="preserve"> </w:t>
      </w:r>
      <w:r>
        <w:t xml:space="preserve">Ex. </w:t>
      </w:r>
      <w:r w:rsidR="00C93F2D">
        <w:t>10</w:t>
      </w:r>
      <w:r>
        <w:t xml:space="preserve"> at 15.)  </w:t>
      </w:r>
      <w:r w:rsidRPr="00D43275">
        <w:t>He added that</w:t>
      </w:r>
      <w:r w:rsidR="00623FD0">
        <w:t>,</w:t>
      </w:r>
      <w:r w:rsidR="00623FD0" w:rsidRPr="00623FD0">
        <w:t>“</w:t>
      </w:r>
      <w:r w:rsidR="00623FD0">
        <w:t xml:space="preserve"> </w:t>
      </w:r>
      <w:r w:rsidR="00623FD0" w:rsidRPr="00623FD0">
        <w:rPr>
          <w:i/>
          <w:iCs/>
        </w:rPr>
        <w:t xml:space="preserve">What I can say is the overall contours of Professor Wax’s scholarship on group difference and equality principles </w:t>
      </w:r>
      <w:r w:rsidR="00623FD0" w:rsidRPr="00623FD0">
        <w:rPr>
          <w:i/>
          <w:iCs/>
        </w:rPr>
        <w:lastRenderedPageBreak/>
        <w:t>does not, on my best reading, support the assertion that she views Black individuals as biologically inferior to Whites</w:t>
      </w:r>
      <w:r w:rsidR="00623FD0" w:rsidRPr="00623FD0">
        <w:t xml:space="preserve">.”  </w:t>
      </w:r>
      <w:r w:rsidR="00623FD0" w:rsidRPr="00623FD0">
        <w:rPr>
          <w:i/>
          <w:iCs/>
        </w:rPr>
        <w:t>Id</w:t>
      </w:r>
      <w:r w:rsidR="00623FD0" w:rsidRPr="00623FD0">
        <w:t>. (emphasis added).</w:t>
      </w:r>
    </w:p>
    <w:p w14:paraId="6D20EAA1" w14:textId="47557B46" w:rsidR="00EF535C" w:rsidRPr="00D43275" w:rsidRDefault="00EF535C" w:rsidP="00EF535C">
      <w:pPr>
        <w:ind w:firstLine="720"/>
      </w:pPr>
      <w:r>
        <w:t xml:space="preserve">Dean </w:t>
      </w:r>
      <w:r w:rsidRPr="00D43275">
        <w:t xml:space="preserve">Ruger’s filings </w:t>
      </w:r>
      <w:r>
        <w:t xml:space="preserve">also </w:t>
      </w:r>
      <w:r w:rsidRPr="00D43275">
        <w:t xml:space="preserve">disregard other observations in </w:t>
      </w:r>
      <w:r>
        <w:t xml:space="preserve">the </w:t>
      </w:r>
      <w:r w:rsidRPr="00D43275">
        <w:t>Rodriguez</w:t>
      </w:r>
      <w:r>
        <w:t xml:space="preserve"> R</w:t>
      </w:r>
      <w:r w:rsidRPr="00D43275">
        <w:t xml:space="preserve">eport that cast doubt on the seriousness or credibility of accusations </w:t>
      </w:r>
      <w:r>
        <w:t xml:space="preserve">made </w:t>
      </w:r>
      <w:r w:rsidRPr="00D43275">
        <w:t xml:space="preserve">against </w:t>
      </w:r>
      <w:r>
        <w:t xml:space="preserve">Prof. </w:t>
      </w:r>
      <w:r w:rsidRPr="00D43275">
        <w:t>Wax.  For example, Prof</w:t>
      </w:r>
      <w:r w:rsidR="00FE3244">
        <w:t>.</w:t>
      </w:r>
      <w:r w:rsidRPr="00D43275">
        <w:t xml:space="preserve"> Rodriguez states that “there is </w:t>
      </w:r>
      <w:r w:rsidRPr="00AE1F26">
        <w:rPr>
          <w:b/>
          <w:bCs/>
          <w:i/>
          <w:iCs/>
        </w:rPr>
        <w:t>no</w:t>
      </w:r>
      <w:r w:rsidRPr="00D43275">
        <w:t xml:space="preserve"> basis to believe that Prof. Wax has in fact been discriminating against Black students in grading their exams,” and that the fears expressed by Black students that </w:t>
      </w:r>
      <w:r>
        <w:t xml:space="preserve">Prof. </w:t>
      </w:r>
      <w:r w:rsidRPr="00D43275">
        <w:t>Wax “will not give them a fair shake” in her classes or her evaluations</w:t>
      </w:r>
      <w:r>
        <w:t xml:space="preserve"> are “</w:t>
      </w:r>
      <w:r w:rsidRPr="00AE1F26">
        <w:rPr>
          <w:b/>
          <w:bCs/>
          <w:i/>
          <w:iCs/>
        </w:rPr>
        <w:t>largely unwarranted</w:t>
      </w:r>
      <w:r w:rsidRPr="00D43275">
        <w:t>.”</w:t>
      </w:r>
      <w:r>
        <w:t xml:space="preserve"> </w:t>
      </w:r>
      <w:r w:rsidR="005B4A6B">
        <w:t xml:space="preserve"> </w:t>
      </w:r>
      <w:r>
        <w:rPr>
          <w:i/>
          <w:iCs/>
        </w:rPr>
        <w:t xml:space="preserve">Id. </w:t>
      </w:r>
      <w:r>
        <w:t>at 21 (emphasis added).</w:t>
      </w:r>
      <w:r w:rsidRPr="00D43275">
        <w:t xml:space="preserve">  </w:t>
      </w:r>
      <w:r w:rsidR="00D00344">
        <w:t>Indeed</w:t>
      </w:r>
      <w:r w:rsidRPr="00D43275">
        <w:t xml:space="preserve">, </w:t>
      </w:r>
      <w:r>
        <w:t xml:space="preserve">Prof. </w:t>
      </w:r>
      <w:r w:rsidRPr="00D43275">
        <w:t xml:space="preserve">Rodriguez found that Black students’ anxiety about whether </w:t>
      </w:r>
      <w:r>
        <w:t xml:space="preserve">Prof. </w:t>
      </w:r>
      <w:r w:rsidRPr="00D43275">
        <w:t xml:space="preserve">Wax would evaluate </w:t>
      </w:r>
      <w:r w:rsidR="00CB64C7">
        <w:t xml:space="preserve">or treat </w:t>
      </w:r>
      <w:r w:rsidRPr="00D43275">
        <w:t xml:space="preserve">them fairly had no objective or reasonable basis whatsoever.  This is hardly surprising.  </w:t>
      </w:r>
      <w:r w:rsidR="00582CCC">
        <w:t xml:space="preserve">The </w:t>
      </w:r>
      <w:r w:rsidRPr="00D43275">
        <w:t>fears of bias are contrary to the plain evidence</w:t>
      </w:r>
      <w:r w:rsidR="003906CF">
        <w:t xml:space="preserve"> which details no instances of bias. </w:t>
      </w:r>
      <w:r w:rsidRPr="00D43275">
        <w:t xml:space="preserve"> </w:t>
      </w:r>
      <w:r w:rsidR="003906CF">
        <w:t xml:space="preserve">And they </w:t>
      </w:r>
      <w:r>
        <w:t xml:space="preserve">are irrational and illogical </w:t>
      </w:r>
      <w:r w:rsidR="005C0B3E">
        <w:t>in light of</w:t>
      </w:r>
      <w:r w:rsidR="005C0B3E" w:rsidRPr="00D43275">
        <w:t xml:space="preserve"> </w:t>
      </w:r>
      <w:r>
        <w:t xml:space="preserve">the </w:t>
      </w:r>
      <w:r w:rsidRPr="00BA3E19">
        <w:rPr>
          <w:i/>
          <w:iCs/>
        </w:rPr>
        <w:t>blind</w:t>
      </w:r>
      <w:r w:rsidRPr="00D43275">
        <w:t xml:space="preserve"> grading protocol </w:t>
      </w:r>
      <w:r>
        <w:t>that is mandated in Prof. Wax’s</w:t>
      </w:r>
      <w:r w:rsidRPr="00D43275">
        <w:t xml:space="preserve"> Civil Procedure and Remedies class.</w:t>
      </w:r>
      <w:r w:rsidR="005C0B3E">
        <w:t xml:space="preserve">  </w:t>
      </w:r>
      <w:r w:rsidR="001A4467">
        <w:t xml:space="preserve">In his report, </w:t>
      </w:r>
      <w:r w:rsidR="00283B3D">
        <w:t xml:space="preserve">Prof. </w:t>
      </w:r>
      <w:r w:rsidR="005C0B3E">
        <w:t>Rodriguez found no evidence that Prof</w:t>
      </w:r>
      <w:r w:rsidR="00FC4D15">
        <w:t xml:space="preserve">. </w:t>
      </w:r>
      <w:r w:rsidR="005C0B3E">
        <w:t xml:space="preserve">Wax had ever breached those policies.  </w:t>
      </w:r>
      <w:r w:rsidR="00BB7856">
        <w:t xml:space="preserve">She </w:t>
      </w:r>
      <w:r w:rsidR="00C93F2D">
        <w:t xml:space="preserve">did </w:t>
      </w:r>
      <w:r w:rsidR="00BB7856">
        <w:t xml:space="preserve">not know the identity of students when </w:t>
      </w:r>
      <w:r w:rsidR="00C93F2D">
        <w:t xml:space="preserve">she was </w:t>
      </w:r>
      <w:r w:rsidR="00BB7856">
        <w:t>grading their work and exams</w:t>
      </w:r>
      <w:r w:rsidR="0049158A">
        <w:t>, and thus could not discriminate against them</w:t>
      </w:r>
      <w:r w:rsidR="00BB7856">
        <w:t>.</w:t>
      </w:r>
    </w:p>
    <w:p w14:paraId="22D61368" w14:textId="3860B483" w:rsidR="00EF535C" w:rsidRDefault="00EF535C" w:rsidP="00EF535C">
      <w:pPr>
        <w:ind w:firstLine="720"/>
      </w:pPr>
      <w:r>
        <w:t xml:space="preserve">Dean </w:t>
      </w:r>
      <w:r w:rsidRPr="00D43275">
        <w:t xml:space="preserve">Ruger fails to mention these critical facts.  The </w:t>
      </w:r>
      <w:r w:rsidR="004F5447">
        <w:t>c</w:t>
      </w:r>
      <w:r w:rsidRPr="00D43275">
        <w:t xml:space="preserve">harges </w:t>
      </w:r>
      <w:r>
        <w:t xml:space="preserve">also </w:t>
      </w:r>
      <w:r w:rsidRPr="00D43275">
        <w:t>simply ignore</w:t>
      </w:r>
      <w:r>
        <w:t xml:space="preserve"> Prof. </w:t>
      </w:r>
      <w:r w:rsidRPr="00D43275">
        <w:t xml:space="preserve">Rodriguez’s important conclusion that there is </w:t>
      </w:r>
      <w:r w:rsidR="00B76A37">
        <w:rPr>
          <w:b/>
          <w:bCs/>
          <w:i/>
          <w:iCs/>
        </w:rPr>
        <w:t>zero</w:t>
      </w:r>
      <w:r w:rsidR="00B76A37" w:rsidRPr="00D43275">
        <w:t xml:space="preserve"> </w:t>
      </w:r>
      <w:r w:rsidRPr="00D43275">
        <w:t xml:space="preserve">evidence that </w:t>
      </w:r>
      <w:r>
        <w:t xml:space="preserve">Prof. </w:t>
      </w:r>
      <w:r w:rsidRPr="00D43275">
        <w:t xml:space="preserve">Wax is biased against minority students.  Contrary to the report’s findings and with no justification whatsoever, </w:t>
      </w:r>
      <w:r>
        <w:t xml:space="preserve">the </w:t>
      </w:r>
      <w:r w:rsidR="00602822">
        <w:t>c</w:t>
      </w:r>
      <w:r>
        <w:t xml:space="preserve">harges nevertheless </w:t>
      </w:r>
      <w:r w:rsidRPr="00D43275">
        <w:t>repeat</w:t>
      </w:r>
      <w:r>
        <w:t xml:space="preserve"> </w:t>
      </w:r>
      <w:r w:rsidRPr="00D43275">
        <w:t xml:space="preserve">the nefarious accusation that </w:t>
      </w:r>
      <w:r>
        <w:t xml:space="preserve">Prof. </w:t>
      </w:r>
      <w:r w:rsidRPr="00D43275">
        <w:t>Wax</w:t>
      </w:r>
      <w:r>
        <w:t xml:space="preserve">’s </w:t>
      </w:r>
      <w:r w:rsidRPr="00D43275">
        <w:t>statements would “lead reasonable students to conclude that they will be judged and evaluated based on their race, ethnicity, gender, or sexual orientation rather than on their academic performance</w:t>
      </w:r>
      <w:r w:rsidR="00291282">
        <w:t xml:space="preserve"> and ‘true merit.’</w:t>
      </w:r>
      <w:r>
        <w:t xml:space="preserve">”  </w:t>
      </w:r>
      <w:r w:rsidR="00FC4D15">
        <w:t xml:space="preserve">Aug. Memo, Ex. 4 </w:t>
      </w:r>
      <w:r w:rsidR="00A85FF1">
        <w:t>at 9</w:t>
      </w:r>
      <w:r>
        <w:t>.</w:t>
      </w:r>
      <w:r w:rsidR="00ED57C3">
        <w:t xml:space="preserve">  </w:t>
      </w:r>
      <w:r w:rsidR="00E571C1">
        <w:t>By</w:t>
      </w:r>
      <w:r w:rsidR="00451ACE" w:rsidRPr="00451ACE">
        <w:t xml:space="preserve"> affirming students’ </w:t>
      </w:r>
      <w:r w:rsidR="00860302">
        <w:t>groundless</w:t>
      </w:r>
      <w:r w:rsidR="00EC2885">
        <w:t xml:space="preserve"> and </w:t>
      </w:r>
      <w:r w:rsidR="00624719">
        <w:t>unsubstantiated</w:t>
      </w:r>
      <w:r w:rsidR="00860302">
        <w:t xml:space="preserve"> </w:t>
      </w:r>
      <w:r w:rsidR="00451ACE" w:rsidRPr="00451ACE">
        <w:t xml:space="preserve">fears </w:t>
      </w:r>
      <w:r w:rsidR="00451ACE" w:rsidRPr="00451ACE">
        <w:lastRenderedPageBreak/>
        <w:t xml:space="preserve">about </w:t>
      </w:r>
      <w:r w:rsidR="00EC2885">
        <w:t xml:space="preserve">Prof. </w:t>
      </w:r>
      <w:r w:rsidR="00451ACE" w:rsidRPr="00451ACE">
        <w:t>Wax</w:t>
      </w:r>
      <w:r w:rsidR="00860302">
        <w:t>’s supposed “bias</w:t>
      </w:r>
      <w:r w:rsidR="00FC68F8">
        <w:t>,</w:t>
      </w:r>
      <w:r w:rsidR="00860302">
        <w:t>” and</w:t>
      </w:r>
      <w:r w:rsidR="00ED5E94">
        <w:t xml:space="preserve"> </w:t>
      </w:r>
      <w:r w:rsidR="00A041BC">
        <w:t>through his</w:t>
      </w:r>
      <w:r w:rsidR="00551551">
        <w:t xml:space="preserve"> related decision </w:t>
      </w:r>
      <w:r w:rsidR="00402583">
        <w:t xml:space="preserve">in response to those fears </w:t>
      </w:r>
      <w:r w:rsidR="00551551">
        <w:t>to strip</w:t>
      </w:r>
      <w:r w:rsidR="00ED5E94">
        <w:t xml:space="preserve"> her of responsibility for </w:t>
      </w:r>
      <w:r w:rsidR="00551551" w:rsidRPr="00551551">
        <w:t xml:space="preserve">teaching </w:t>
      </w:r>
      <w:r w:rsidR="000E7AAD">
        <w:t xml:space="preserve">the </w:t>
      </w:r>
      <w:r w:rsidR="00A041BC">
        <w:t>required</w:t>
      </w:r>
      <w:r w:rsidR="00551551" w:rsidRPr="00551551">
        <w:t xml:space="preserve"> first year Civil Procedure</w:t>
      </w:r>
      <w:r w:rsidR="00551551">
        <w:t xml:space="preserve">, </w:t>
      </w:r>
      <w:r w:rsidR="000E7AAD">
        <w:t xml:space="preserve">Dean </w:t>
      </w:r>
      <w:r w:rsidR="00551551">
        <w:t xml:space="preserve">Ruger has </w:t>
      </w:r>
      <w:r w:rsidR="00B216AA">
        <w:t>enshrined irrational emotions, untethered from reality,</w:t>
      </w:r>
      <w:r w:rsidR="0043402C">
        <w:t xml:space="preserve"> as a </w:t>
      </w:r>
      <w:r w:rsidR="00713E0F">
        <w:t xml:space="preserve">central </w:t>
      </w:r>
      <w:r w:rsidR="00B216AA">
        <w:t xml:space="preserve">governing principle of the </w:t>
      </w:r>
      <w:r w:rsidR="000E7AAD">
        <w:t>L</w:t>
      </w:r>
      <w:r w:rsidR="00B216AA">
        <w:t xml:space="preserve">aw </w:t>
      </w:r>
      <w:r w:rsidR="000E7AAD">
        <w:t>S</w:t>
      </w:r>
      <w:r w:rsidR="00B216AA">
        <w:t>chool</w:t>
      </w:r>
      <w:r w:rsidR="00E96297">
        <w:t xml:space="preserve">.  </w:t>
      </w:r>
      <w:r w:rsidR="00F64852">
        <w:t xml:space="preserve">The Dean’s position is absurd.  </w:t>
      </w:r>
      <w:r w:rsidR="00154F1A" w:rsidRPr="00154F1A">
        <w:t xml:space="preserve">If students avoided a professor's classes because they believed she was the </w:t>
      </w:r>
      <w:r w:rsidR="00E96297">
        <w:t>D</w:t>
      </w:r>
      <w:r w:rsidR="00154F1A" w:rsidRPr="00154F1A">
        <w:t xml:space="preserve">evil incarnate, </w:t>
      </w:r>
      <w:r w:rsidR="00F64852">
        <w:t xml:space="preserve">the Dean </w:t>
      </w:r>
      <w:r w:rsidR="00154F1A" w:rsidRPr="00154F1A">
        <w:t xml:space="preserve">would </w:t>
      </w:r>
      <w:r w:rsidR="00F64852">
        <w:t xml:space="preserve">not bring </w:t>
      </w:r>
      <w:r w:rsidR="004C371C">
        <w:t xml:space="preserve">charges against </w:t>
      </w:r>
      <w:r w:rsidR="00F64852">
        <w:t xml:space="preserve">that professor </w:t>
      </w:r>
      <w:r w:rsidR="004C371C">
        <w:t xml:space="preserve">and remove her from </w:t>
      </w:r>
      <w:r w:rsidR="00154F1A" w:rsidRPr="00154F1A">
        <w:t>teaching a</w:t>
      </w:r>
      <w:r w:rsidR="00E96297">
        <w:t xml:space="preserve"> required</w:t>
      </w:r>
      <w:r w:rsidR="00154F1A" w:rsidRPr="00154F1A">
        <w:t xml:space="preserve"> course</w:t>
      </w:r>
      <w:r w:rsidR="00F64852">
        <w:t>.  A</w:t>
      </w:r>
      <w:r w:rsidR="00E972A0">
        <w:t xml:space="preserve"> </w:t>
      </w:r>
      <w:r w:rsidR="006536CF">
        <w:t>law school</w:t>
      </w:r>
      <w:r w:rsidR="00E972A0">
        <w:t xml:space="preserve"> that</w:t>
      </w:r>
      <w:r w:rsidR="006536CF" w:rsidRPr="006536CF">
        <w:t xml:space="preserve"> purports to </w:t>
      </w:r>
      <w:r w:rsidR="00F64852">
        <w:t xml:space="preserve">teach and </w:t>
      </w:r>
      <w:r w:rsidR="006536CF" w:rsidRPr="006536CF">
        <w:t>honor rationality, logic, evidence</w:t>
      </w:r>
      <w:r w:rsidR="008F5599">
        <w:t xml:space="preserve">, </w:t>
      </w:r>
      <w:r w:rsidR="006536CF" w:rsidRPr="006536CF">
        <w:t>truth</w:t>
      </w:r>
      <w:r w:rsidR="008F5599">
        <w:t>, and justice</w:t>
      </w:r>
      <w:r w:rsidR="00F64852">
        <w:t xml:space="preserve"> would obviously not do that</w:t>
      </w:r>
      <w:r w:rsidR="006536CF">
        <w:t>.</w:t>
      </w:r>
      <w:r w:rsidR="001D0984">
        <w:t xml:space="preserve">  </w:t>
      </w:r>
      <w:r w:rsidR="00F64852">
        <w:t>Dea</w:t>
      </w:r>
      <w:r w:rsidR="008238F8">
        <w:t>n</w:t>
      </w:r>
      <w:r w:rsidR="00F64852">
        <w:t xml:space="preserve"> </w:t>
      </w:r>
      <w:r w:rsidR="003D40D8">
        <w:t xml:space="preserve">Ruger’s charges and actions toward </w:t>
      </w:r>
      <w:r w:rsidR="00F64852">
        <w:t xml:space="preserve">Prf. </w:t>
      </w:r>
      <w:r w:rsidR="003D40D8">
        <w:t>Wax</w:t>
      </w:r>
      <w:r w:rsidR="00F64852">
        <w:t xml:space="preserve">, however, </w:t>
      </w:r>
      <w:r w:rsidR="00624719">
        <w:t>flout</w:t>
      </w:r>
      <w:r w:rsidR="00464C59">
        <w:t xml:space="preserve"> those principles</w:t>
      </w:r>
      <w:r w:rsidR="001D0984" w:rsidRPr="001D0984">
        <w:t>.</w:t>
      </w:r>
    </w:p>
    <w:p w14:paraId="3E87F506" w14:textId="6295B628" w:rsidR="00EF535C" w:rsidRDefault="00FA7018" w:rsidP="009C38A3">
      <w:pPr>
        <w:ind w:firstLine="720"/>
      </w:pPr>
      <w:r>
        <w:t xml:space="preserve">Not only did </w:t>
      </w:r>
      <w:r w:rsidR="00EF535C">
        <w:t xml:space="preserve">Dean Ruger </w:t>
      </w:r>
      <w:r w:rsidR="00EF535C" w:rsidRPr="00D43275">
        <w:t>disregar</w:t>
      </w:r>
      <w:r w:rsidR="00EF535C">
        <w:t xml:space="preserve">d critical findings in the </w:t>
      </w:r>
      <w:r w:rsidR="00EF535C" w:rsidRPr="00D43275">
        <w:t>Rodriguez</w:t>
      </w:r>
      <w:r w:rsidR="00EF535C">
        <w:t xml:space="preserve"> Report</w:t>
      </w:r>
      <w:r w:rsidR="00175FF9">
        <w:t>, but he</w:t>
      </w:r>
      <w:r w:rsidR="00EF535C">
        <w:t xml:space="preserve"> </w:t>
      </w:r>
      <w:r w:rsidR="00857ADA">
        <w:t xml:space="preserve">also </w:t>
      </w:r>
      <w:r w:rsidR="00EF535C">
        <w:t xml:space="preserve">failed to disclose the </w:t>
      </w:r>
      <w:r w:rsidR="00857ADA">
        <w:t>r</w:t>
      </w:r>
      <w:r w:rsidR="00EF535C">
        <w:t xml:space="preserve">eport </w:t>
      </w:r>
      <w:r w:rsidR="00EF535C" w:rsidRPr="00D43275">
        <w:t xml:space="preserve">to </w:t>
      </w:r>
      <w:r w:rsidR="00857ADA">
        <w:t xml:space="preserve">her </w:t>
      </w:r>
      <w:r w:rsidR="00EF535C" w:rsidRPr="00D43275">
        <w:t>in a timely fashion</w:t>
      </w:r>
      <w:r w:rsidR="00857ADA">
        <w:t>,</w:t>
      </w:r>
      <w:r w:rsidR="002168BD">
        <w:t xml:space="preserve"> </w:t>
      </w:r>
      <w:r w:rsidR="0021201D">
        <w:t>and</w:t>
      </w:r>
      <w:r w:rsidR="00EF535C">
        <w:t xml:space="preserve"> </w:t>
      </w:r>
      <w:r w:rsidR="00857ADA">
        <w:t xml:space="preserve">he </w:t>
      </w:r>
      <w:r w:rsidR="00EF535C">
        <w:t xml:space="preserve">attempted to hide the report </w:t>
      </w:r>
      <w:r w:rsidR="00EF535C" w:rsidRPr="00D43275">
        <w:t>from</w:t>
      </w:r>
      <w:r w:rsidR="00857ADA">
        <w:t xml:space="preserve"> her</w:t>
      </w:r>
      <w:r w:rsidR="00EF535C">
        <w:t xml:space="preserve">, </w:t>
      </w:r>
      <w:r w:rsidR="00EF535C" w:rsidRPr="00D43275">
        <w:t>Penn students, and the Penn community</w:t>
      </w:r>
      <w:r w:rsidR="00EF535C">
        <w:t xml:space="preserve"> for more than </w:t>
      </w:r>
      <w:r w:rsidR="00EF535C" w:rsidRPr="00582CCC">
        <w:rPr>
          <w:i/>
          <w:iCs/>
        </w:rPr>
        <w:t>seven months</w:t>
      </w:r>
      <w:r w:rsidR="00EF535C">
        <w:t xml:space="preserve">.  </w:t>
      </w:r>
      <w:r w:rsidR="002168BD">
        <w:t xml:space="preserve">Indeed, </w:t>
      </w:r>
      <w:r w:rsidR="00857ADA">
        <w:t xml:space="preserve">Dean </w:t>
      </w:r>
      <w:r w:rsidR="00604679">
        <w:t xml:space="preserve">Ruger would have </w:t>
      </w:r>
      <w:r w:rsidR="005908BF">
        <w:t>concealed</w:t>
      </w:r>
      <w:r w:rsidR="00604679">
        <w:t xml:space="preserve"> the report </w:t>
      </w:r>
      <w:r w:rsidR="00857ADA">
        <w:t xml:space="preserve">for </w:t>
      </w:r>
      <w:r w:rsidR="00604679">
        <w:t>much longer, and perhaps forever</w:t>
      </w:r>
      <w:r w:rsidR="00857ADA">
        <w:t xml:space="preserve">, because Prof. </w:t>
      </w:r>
      <w:r w:rsidR="0021201D">
        <w:t xml:space="preserve">Wax </w:t>
      </w:r>
      <w:r w:rsidR="0021201D" w:rsidRPr="0021201D">
        <w:t xml:space="preserve">only found out about </w:t>
      </w:r>
      <w:r w:rsidR="005908BF">
        <w:t>it</w:t>
      </w:r>
      <w:r w:rsidR="0021201D" w:rsidRPr="0021201D">
        <w:t xml:space="preserve"> by asking Prof. Rodriguez directly</w:t>
      </w:r>
      <w:r w:rsidR="0021201D">
        <w:t xml:space="preserve">. </w:t>
      </w:r>
      <w:r w:rsidR="0021201D" w:rsidRPr="0021201D">
        <w:t xml:space="preserve"> </w:t>
      </w:r>
      <w:r w:rsidR="00857ADA">
        <w:t xml:space="preserve">Dean </w:t>
      </w:r>
      <w:r w:rsidR="002168BD">
        <w:t xml:space="preserve">Ruger’s </w:t>
      </w:r>
      <w:r w:rsidR="00EF535C">
        <w:t xml:space="preserve">attempt to hide and then blackwash the Rodriguez Report was </w:t>
      </w:r>
      <w:r w:rsidR="00EF535C" w:rsidRPr="00D43275">
        <w:t>dishonorable</w:t>
      </w:r>
      <w:r w:rsidR="00EF535C">
        <w:t>,</w:t>
      </w:r>
      <w:r w:rsidR="00EF535C" w:rsidRPr="00D43275">
        <w:t xml:space="preserve"> dishonest</w:t>
      </w:r>
      <w:r w:rsidR="00EF535C">
        <w:t>,</w:t>
      </w:r>
      <w:r w:rsidR="00EF535C" w:rsidRPr="00F80EB6">
        <w:t xml:space="preserve"> and an egregious violation of Penn’s pledge of fundamental fairness towards accused University members.</w:t>
      </w:r>
      <w:r w:rsidR="009C38A3">
        <w:t xml:space="preserve">  </w:t>
      </w:r>
      <w:r w:rsidR="001768AB">
        <w:t xml:space="preserve">Dean Ruger’s treatment of the Rodriguez </w:t>
      </w:r>
      <w:r w:rsidR="00FB626C">
        <w:t>R</w:t>
      </w:r>
      <w:r w:rsidR="001768AB">
        <w:t xml:space="preserve">eport </w:t>
      </w:r>
      <w:r w:rsidR="00393387">
        <w:t>supports</w:t>
      </w:r>
      <w:r w:rsidR="00937283">
        <w:t xml:space="preserve"> the conclusion</w:t>
      </w:r>
      <w:r w:rsidR="00E8779E">
        <w:t xml:space="preserve"> </w:t>
      </w:r>
      <w:r w:rsidR="00156573">
        <w:t xml:space="preserve">that his </w:t>
      </w:r>
      <w:r w:rsidR="00085516">
        <w:t>pursuit of charges against Prof. Wax is</w:t>
      </w:r>
      <w:r w:rsidR="00582CCC">
        <w:t xml:space="preserve"> </w:t>
      </w:r>
      <w:r w:rsidR="009D1047">
        <w:t>unfounded</w:t>
      </w:r>
      <w:r w:rsidR="00571212">
        <w:t xml:space="preserve">, unjustified, an abuse of </w:t>
      </w:r>
      <w:r w:rsidR="00192F1A">
        <w:t xml:space="preserve">his </w:t>
      </w:r>
      <w:r w:rsidR="00571212">
        <w:t>position at the Law School</w:t>
      </w:r>
      <w:r w:rsidR="00E27693">
        <w:t>, and motivated by a special animus towards</w:t>
      </w:r>
      <w:r w:rsidR="009503C4">
        <w:t xml:space="preserve"> her and her political views</w:t>
      </w:r>
      <w:r w:rsidR="00582CCC">
        <w:t>.</w:t>
      </w:r>
      <w:r w:rsidR="009C68FF">
        <w:t xml:space="preserve">  These infractions cry out for correction</w:t>
      </w:r>
      <w:r w:rsidR="00474874">
        <w:t xml:space="preserve"> by the Commission through the grievance process.</w:t>
      </w:r>
    </w:p>
    <w:p w14:paraId="42487E9D" w14:textId="311693EA" w:rsidR="00F33F5B" w:rsidRPr="004F5447" w:rsidRDefault="00F33F5B" w:rsidP="00F33F5B">
      <w:pPr>
        <w:pStyle w:val="Heading2"/>
      </w:pPr>
      <w:bookmarkStart w:id="8" w:name="_Toc124755378"/>
      <w:r w:rsidRPr="004F5447">
        <w:t>selective prosecution</w:t>
      </w:r>
      <w:r w:rsidR="004F5447" w:rsidRPr="004F5447">
        <w:t>.</w:t>
      </w:r>
      <w:bookmarkEnd w:id="8"/>
    </w:p>
    <w:p w14:paraId="0FB4668C" w14:textId="5A681C1A" w:rsidR="00C93F2D" w:rsidRDefault="00D10C1C" w:rsidP="00D10C1C">
      <w:pPr>
        <w:ind w:firstLine="720"/>
      </w:pPr>
      <w:r>
        <w:t xml:space="preserve">We also ask the Commission to take notice of the fact that </w:t>
      </w:r>
      <w:r w:rsidR="00413996">
        <w:t xml:space="preserve">Dean Ruger’s decision to bring </w:t>
      </w:r>
      <w:r>
        <w:t xml:space="preserve">charges against Prof. Wax </w:t>
      </w:r>
      <w:r w:rsidR="00413996">
        <w:t>is a</w:t>
      </w:r>
      <w:r>
        <w:t xml:space="preserve"> classic example of selective prosecution.  Dean Ruger </w:t>
      </w:r>
      <w:r>
        <w:lastRenderedPageBreak/>
        <w:t xml:space="preserve">focused his ire on Prof. Wax because he disagrees with her politics and opinions.  He </w:t>
      </w:r>
      <w:r w:rsidR="00B36ACA">
        <w:t>would never</w:t>
      </w:r>
      <w:r w:rsidR="000E02E1">
        <w:t xml:space="preserve"> and has never condemned or sought sanctions ag</w:t>
      </w:r>
      <w:r w:rsidR="002376D1">
        <w:t>ainst</w:t>
      </w:r>
      <w:r>
        <w:t xml:space="preserve"> </w:t>
      </w:r>
      <w:r w:rsidR="00B36ACA">
        <w:t xml:space="preserve">a </w:t>
      </w:r>
      <w:r>
        <w:t>Member</w:t>
      </w:r>
      <w:r w:rsidR="00B36ACA">
        <w:t xml:space="preserve"> </w:t>
      </w:r>
      <w:r>
        <w:t xml:space="preserve">of the University who </w:t>
      </w:r>
      <w:r w:rsidR="00B36ACA">
        <w:t xml:space="preserve">teaches </w:t>
      </w:r>
      <w:r>
        <w:t xml:space="preserve">that all white Americans are racists; </w:t>
      </w:r>
      <w:r w:rsidR="00165E68">
        <w:t>that American society is irredeemably, “structurally,” or “systemically” racist</w:t>
      </w:r>
      <w:r w:rsidR="00192F1A">
        <w:t>;</w:t>
      </w:r>
      <w:r w:rsidR="00165E68">
        <w:t xml:space="preserve"> </w:t>
      </w:r>
      <w:r>
        <w:t xml:space="preserve">that all consensual sex is rape; </w:t>
      </w:r>
      <w:r w:rsidR="00B36ACA">
        <w:t xml:space="preserve">or </w:t>
      </w:r>
      <w:r>
        <w:t xml:space="preserve">who </w:t>
      </w:r>
      <w:r w:rsidR="0068156D">
        <w:t>expose</w:t>
      </w:r>
      <w:r w:rsidR="00553FC0">
        <w:t>s</w:t>
      </w:r>
      <w:r w:rsidR="0068156D">
        <w:t xml:space="preserve"> students to the idea</w:t>
      </w:r>
      <w:r w:rsidR="00687213">
        <w:t>s</w:t>
      </w:r>
      <w:r w:rsidR="0068156D">
        <w:t xml:space="preserve"> that</w:t>
      </w:r>
      <w:r>
        <w:t xml:space="preserve"> </w:t>
      </w:r>
      <w:r w:rsidR="00EE05BD">
        <w:t xml:space="preserve">white people, men, or </w:t>
      </w:r>
      <w:r>
        <w:t xml:space="preserve">Jews are responsible for the problems </w:t>
      </w:r>
      <w:r w:rsidR="004B4DEE">
        <w:t xml:space="preserve">plaguing the </w:t>
      </w:r>
      <w:r w:rsidR="0068156D">
        <w:t>world</w:t>
      </w:r>
      <w:r w:rsidR="00D76849">
        <w:t xml:space="preserve"> or that </w:t>
      </w:r>
      <w:r w:rsidR="006F5674">
        <w:t>antisemitism</w:t>
      </w:r>
      <w:r w:rsidR="00D76849">
        <w:t xml:space="preserve"> is an aid to and instrument of </w:t>
      </w:r>
      <w:r w:rsidR="00B36ACA">
        <w:t>B</w:t>
      </w:r>
      <w:r w:rsidR="00D76849">
        <w:t xml:space="preserve">lack </w:t>
      </w:r>
      <w:r w:rsidR="00DC09B0">
        <w:t xml:space="preserve">community </w:t>
      </w:r>
      <w:r w:rsidR="00D76849">
        <w:t>solidarity</w:t>
      </w:r>
      <w:r w:rsidR="004B4DEE">
        <w:t xml:space="preserve">.  </w:t>
      </w:r>
    </w:p>
    <w:p w14:paraId="080B6B6C" w14:textId="4E344E5F" w:rsidR="00C93F2D" w:rsidRDefault="00C93F2D" w:rsidP="00D10C1C">
      <w:pPr>
        <w:ind w:firstLine="720"/>
      </w:pPr>
      <w:r>
        <w:t xml:space="preserve">For example, Regina Austin, while at Penn Law, wrote an article that argued that anti-Jewish conspiracy theories in the Black community are not all bad because they promote community solidarity and cohesion.  Regina Austin, </w:t>
      </w:r>
      <w:r w:rsidRPr="00192F1A">
        <w:rPr>
          <w:i/>
          <w:iCs/>
        </w:rPr>
        <w:t xml:space="preserve">Beyond Black Demons &amp; White Devils:  Antiblack Conspiracy Theorizing &amp; </w:t>
      </w:r>
      <w:r w:rsidR="00857ADA">
        <w:rPr>
          <w:i/>
          <w:iCs/>
        </w:rPr>
        <w:t>T</w:t>
      </w:r>
      <w:r w:rsidRPr="00192F1A">
        <w:rPr>
          <w:i/>
          <w:iCs/>
        </w:rPr>
        <w:t>he Black Public Sphere</w:t>
      </w:r>
      <w:r>
        <w:t>, 22 F</w:t>
      </w:r>
      <w:r w:rsidR="008C61DE">
        <w:t>la</w:t>
      </w:r>
      <w:r>
        <w:t>. St. U. L. R</w:t>
      </w:r>
      <w:r w:rsidR="008C61DE">
        <w:t>ev</w:t>
      </w:r>
      <w:r>
        <w:t xml:space="preserve">. 1021 (1995).  No dean has ever sought to sanction Prof. Austin based on the </w:t>
      </w:r>
      <w:r w:rsidR="0045608E">
        <w:t xml:space="preserve">possibility </w:t>
      </w:r>
      <w:r>
        <w:t>that</w:t>
      </w:r>
      <w:r w:rsidR="00B00BA5">
        <w:t xml:space="preserve"> her comments would make</w:t>
      </w:r>
      <w:r>
        <w:t xml:space="preserve"> Jewish students</w:t>
      </w:r>
      <w:r w:rsidR="00702656">
        <w:t xml:space="preserve"> feel</w:t>
      </w:r>
      <w:r>
        <w:t xml:space="preserve"> “uncomfortable</w:t>
      </w:r>
      <w:r w:rsidR="00156573">
        <w:t>,</w:t>
      </w:r>
      <w:r>
        <w:t xml:space="preserve">” </w:t>
      </w:r>
      <w:r w:rsidR="00156573">
        <w:t xml:space="preserve">“unwelcome,” </w:t>
      </w:r>
      <w:r>
        <w:t xml:space="preserve">“unwanted,” or that </w:t>
      </w:r>
      <w:r w:rsidR="00702656">
        <w:t>those</w:t>
      </w:r>
      <w:r w:rsidR="00886FA7">
        <w:t xml:space="preserve"> students could “reasonably” believe that </w:t>
      </w:r>
      <w:r>
        <w:t xml:space="preserve">Professor Austin </w:t>
      </w:r>
      <w:r w:rsidR="00886FA7">
        <w:t xml:space="preserve">is “biased” against them or </w:t>
      </w:r>
      <w:r>
        <w:t xml:space="preserve">would not treat them fairly. And no university official has ever shown the slightest concern or curiosity about whether </w:t>
      </w:r>
      <w:r w:rsidR="00E34E41">
        <w:t xml:space="preserve">Prof. </w:t>
      </w:r>
      <w:r w:rsidR="00C53D83">
        <w:t>Austin’s writing or</w:t>
      </w:r>
      <w:r>
        <w:t xml:space="preserve"> comments would have </w:t>
      </w:r>
      <w:r w:rsidR="00FA04BE">
        <w:t xml:space="preserve">any </w:t>
      </w:r>
      <w:r>
        <w:t>such effect.</w:t>
      </w:r>
    </w:p>
    <w:p w14:paraId="546FDC15" w14:textId="325E22FC" w:rsidR="00D10C1C" w:rsidRPr="004B4DEE" w:rsidRDefault="00D71FC5" w:rsidP="00D10C1C">
      <w:pPr>
        <w:ind w:firstLine="720"/>
      </w:pPr>
      <w:r>
        <w:t>Yet all of the</w:t>
      </w:r>
      <w:r w:rsidR="00C93F2D">
        <w:t xml:space="preserve"> </w:t>
      </w:r>
      <w:r>
        <w:t>positions</w:t>
      </w:r>
      <w:r w:rsidR="00AD0187">
        <w:t xml:space="preserve"> listed in this section</w:t>
      </w:r>
      <w:r w:rsidR="00DD6375">
        <w:t>, which are not uncommon</w:t>
      </w:r>
      <w:r w:rsidR="00267E4A">
        <w:t>ly heard</w:t>
      </w:r>
      <w:r w:rsidR="00DD6375">
        <w:t xml:space="preserve"> in the academy</w:t>
      </w:r>
      <w:r w:rsidR="00267E4A">
        <w:t>,</w:t>
      </w:r>
      <w:r>
        <w:t xml:space="preserve"> are potentially quite offensive or upsetting to some people, </w:t>
      </w:r>
      <w:r w:rsidR="007C173F">
        <w:t xml:space="preserve">and there </w:t>
      </w:r>
      <w:r w:rsidR="006634F6">
        <w:t>could well be</w:t>
      </w:r>
      <w:r w:rsidR="007C173F">
        <w:t xml:space="preserve"> students or other University Members who are discomfited and emotionally disturbed by them.  </w:t>
      </w:r>
      <w:r w:rsidR="00B264B4">
        <w:t>Yet n</w:t>
      </w:r>
      <w:r w:rsidR="004B4DEE">
        <w:t xml:space="preserve">o other Member of the University has </w:t>
      </w:r>
      <w:r w:rsidR="004B4DEE">
        <w:rPr>
          <w:i/>
          <w:iCs/>
        </w:rPr>
        <w:t>ever</w:t>
      </w:r>
      <w:r w:rsidR="004B4DEE">
        <w:t xml:space="preserve"> been </w:t>
      </w:r>
      <w:r w:rsidR="00E75DE1">
        <w:t xml:space="preserve">formally </w:t>
      </w:r>
      <w:r w:rsidR="004B4DEE">
        <w:t xml:space="preserve">charged with </w:t>
      </w:r>
      <w:r w:rsidR="00387019">
        <w:t>an infraction of University rules based on what he or she has taught, written, assigned</w:t>
      </w:r>
      <w:r w:rsidR="00553FC0">
        <w:t xml:space="preserve"> to students</w:t>
      </w:r>
      <w:r w:rsidR="00387019">
        <w:t xml:space="preserve">, or opined in the media.  No one.  </w:t>
      </w:r>
      <w:r w:rsidR="003F4783">
        <w:t xml:space="preserve">This is evidence that Dean Ruger’s charges </w:t>
      </w:r>
      <w:r w:rsidR="009B2469">
        <w:t>against Prof</w:t>
      </w:r>
      <w:r w:rsidR="00B026AE">
        <w:t xml:space="preserve">. </w:t>
      </w:r>
      <w:r w:rsidR="009B2469">
        <w:t xml:space="preserve">Wax are motivated </w:t>
      </w:r>
      <w:r w:rsidR="009B2469">
        <w:lastRenderedPageBreak/>
        <w:t>by hostility towards her views</w:t>
      </w:r>
      <w:r w:rsidR="00C8414F">
        <w:t>.  It is one more</w:t>
      </w:r>
      <w:r w:rsidR="003F4783">
        <w:t xml:space="preserve"> </w:t>
      </w:r>
      <w:r w:rsidR="009D1047">
        <w:t>reason</w:t>
      </w:r>
      <w:r w:rsidR="003F4783">
        <w:t xml:space="preserve"> </w:t>
      </w:r>
      <w:r w:rsidR="009D1047">
        <w:t xml:space="preserve">the Commission should </w:t>
      </w:r>
      <w:r w:rsidR="00A3315D">
        <w:t xml:space="preserve">consider, investigate, take seriously, and </w:t>
      </w:r>
      <w:r w:rsidR="009D1047">
        <w:t xml:space="preserve">resolve </w:t>
      </w:r>
      <w:r w:rsidR="003F4783">
        <w:t xml:space="preserve">Prof. Wax’s </w:t>
      </w:r>
      <w:r w:rsidR="003341FF">
        <w:t>G</w:t>
      </w:r>
      <w:r w:rsidR="003F4783">
        <w:t>rievance.</w:t>
      </w:r>
    </w:p>
    <w:p w14:paraId="57427CA8" w14:textId="57B241DD" w:rsidR="00CF72D2" w:rsidRPr="00CC53FA" w:rsidRDefault="00CF72D2" w:rsidP="00CF72D2">
      <w:pPr>
        <w:pStyle w:val="Heading1"/>
        <w:rPr>
          <w:u w:val="single"/>
        </w:rPr>
      </w:pPr>
      <w:bookmarkStart w:id="9" w:name="_Toc124755379"/>
      <w:r w:rsidRPr="00CC53FA">
        <w:rPr>
          <w:u w:val="single"/>
        </w:rPr>
        <w:t>faculty grievance procedure:  WHAT HAPPENS NEXT</w:t>
      </w:r>
      <w:r w:rsidR="00456260">
        <w:t>.</w:t>
      </w:r>
      <w:bookmarkEnd w:id="9"/>
    </w:p>
    <w:p w14:paraId="2CB5114C" w14:textId="6070F117" w:rsidR="00CF72D2" w:rsidRDefault="00CF72D2" w:rsidP="00CF72D2">
      <w:pPr>
        <w:ind w:firstLine="720"/>
      </w:pPr>
      <w:r>
        <w:t xml:space="preserve">Pursuant to the </w:t>
      </w:r>
      <w:r w:rsidR="008E11A0">
        <w:t xml:space="preserve">Commission’s procedures, </w:t>
      </w:r>
      <w:r w:rsidR="00A04D20">
        <w:t xml:space="preserve">the filing of this </w:t>
      </w:r>
      <w:r w:rsidR="00456260">
        <w:t>G</w:t>
      </w:r>
      <w:r w:rsidR="00A04D20">
        <w:t>rievance entitles Professor Wax</w:t>
      </w:r>
      <w:r>
        <w:t xml:space="preserve"> and her attorney </w:t>
      </w:r>
      <w:r w:rsidR="00A04D20">
        <w:t xml:space="preserve">to </w:t>
      </w:r>
      <w:r>
        <w:t xml:space="preserve">meet with </w:t>
      </w:r>
      <w:r w:rsidRPr="004F602D">
        <w:t xml:space="preserve">the </w:t>
      </w:r>
      <w:r w:rsidR="00112205">
        <w:t xml:space="preserve">Commission </w:t>
      </w:r>
      <w:r w:rsidRPr="004F602D">
        <w:t xml:space="preserve">Chair (or an individual </w:t>
      </w:r>
      <w:r w:rsidR="00130704">
        <w:t>designated</w:t>
      </w:r>
      <w:r w:rsidRPr="004F602D">
        <w:t xml:space="preserve"> for this role) to discuss the grounds for the </w:t>
      </w:r>
      <w:r w:rsidR="00456260">
        <w:t>G</w:t>
      </w:r>
      <w:r w:rsidRPr="004F602D">
        <w:t xml:space="preserve">rievance. </w:t>
      </w:r>
      <w:r>
        <w:t xml:space="preserve"> Because Prof. Wax’s </w:t>
      </w:r>
      <w:r w:rsidR="00456260">
        <w:t>G</w:t>
      </w:r>
      <w:r>
        <w:t xml:space="preserve">rievance </w:t>
      </w:r>
      <w:r w:rsidRPr="004F602D">
        <w:t>raise</w:t>
      </w:r>
      <w:r w:rsidR="00130704">
        <w:t>s</w:t>
      </w:r>
      <w:r w:rsidRPr="004F602D">
        <w:t xml:space="preserve"> issues of academic freedom</w:t>
      </w:r>
      <w:r w:rsidR="00E33B15">
        <w:t xml:space="preserve"> in speech and expression</w:t>
      </w:r>
      <w:r w:rsidRPr="004F602D">
        <w:t xml:space="preserve">, </w:t>
      </w:r>
      <w:r w:rsidR="00DE19C8">
        <w:t xml:space="preserve">as </w:t>
      </w:r>
      <w:r>
        <w:t xml:space="preserve">Prof. Wax </w:t>
      </w:r>
      <w:r w:rsidR="00DE19C8">
        <w:t>has shown</w:t>
      </w:r>
      <w:r w:rsidRPr="004F602D">
        <w:t xml:space="preserve">, the Chair </w:t>
      </w:r>
      <w:r>
        <w:t xml:space="preserve">must </w:t>
      </w:r>
      <w:r w:rsidRPr="004F602D">
        <w:t xml:space="preserve">send a copy of </w:t>
      </w:r>
      <w:r>
        <w:t xml:space="preserve">this </w:t>
      </w:r>
      <w:r w:rsidR="00456260">
        <w:t>G</w:t>
      </w:r>
      <w:r>
        <w:t xml:space="preserve">rievance </w:t>
      </w:r>
      <w:r w:rsidRPr="004F602D">
        <w:t>to SCAFR</w:t>
      </w:r>
      <w:r>
        <w:t xml:space="preserve">.  Furthermore, because the </w:t>
      </w:r>
      <w:r w:rsidR="00456260">
        <w:t>G</w:t>
      </w:r>
      <w:r w:rsidRPr="004F602D">
        <w:t xml:space="preserve">rievance </w:t>
      </w:r>
      <w:r w:rsidR="00C93F2D">
        <w:t xml:space="preserve">is against a </w:t>
      </w:r>
      <w:proofErr w:type="gramStart"/>
      <w:r w:rsidR="00C93F2D">
        <w:t>Dean</w:t>
      </w:r>
      <w:proofErr w:type="gramEnd"/>
      <w:r w:rsidR="00C93F2D">
        <w:t xml:space="preserve"> and </w:t>
      </w:r>
      <w:r w:rsidRPr="004F602D">
        <w:t>raises significant questions of academic freedom</w:t>
      </w:r>
      <w:r w:rsidR="00EA052D">
        <w:t xml:space="preserve"> that </w:t>
      </w:r>
      <w:r w:rsidR="00447640">
        <w:t xml:space="preserve">affect </w:t>
      </w:r>
      <w:r w:rsidR="00EA052D">
        <w:t>the entire University</w:t>
      </w:r>
      <w:r>
        <w:t xml:space="preserve">, </w:t>
      </w:r>
      <w:r w:rsidR="0061222B">
        <w:t xml:space="preserve">no other university </w:t>
      </w:r>
      <w:r w:rsidR="00EA052D">
        <w:t xml:space="preserve">or faculty </w:t>
      </w:r>
      <w:r w:rsidR="0061222B">
        <w:t>committee</w:t>
      </w:r>
      <w:r w:rsidR="009E6F0A">
        <w:t xml:space="preserve"> </w:t>
      </w:r>
      <w:r w:rsidR="00C93F2D">
        <w:t xml:space="preserve">can </w:t>
      </w:r>
      <w:r w:rsidR="00EA052D">
        <w:t>adjudicat</w:t>
      </w:r>
      <w:r w:rsidR="00C93F2D">
        <w:t xml:space="preserve">e </w:t>
      </w:r>
      <w:r w:rsidR="00EA052D">
        <w:t>the issues raised by the Grievance</w:t>
      </w:r>
      <w:r w:rsidRPr="004F602D">
        <w:t xml:space="preserve">. </w:t>
      </w:r>
      <w:r>
        <w:t xml:space="preserve"> Only the </w:t>
      </w:r>
      <w:r w:rsidR="005B0197">
        <w:t xml:space="preserve">Commission </w:t>
      </w:r>
      <w:r w:rsidR="00C93F2D">
        <w:t xml:space="preserve">(through SCAFR) </w:t>
      </w:r>
      <w:r>
        <w:t xml:space="preserve">has jurisdiction to determine </w:t>
      </w:r>
      <w:r w:rsidR="00742E2D">
        <w:t xml:space="preserve">the </w:t>
      </w:r>
      <w:r>
        <w:t xml:space="preserve">issues </w:t>
      </w:r>
      <w:r w:rsidR="00742E2D">
        <w:t>here</w:t>
      </w:r>
      <w:r>
        <w:t xml:space="preserve"> even if they are couched as grounds for a “major” sanction brought by a “Charging Party” under the Faculty Handbook.  </w:t>
      </w:r>
      <w:r w:rsidR="00456260">
        <w:t xml:space="preserve">This means that the current proceedings now before the Faculty Senate must </w:t>
      </w:r>
      <w:r w:rsidR="00D93E50">
        <w:t xml:space="preserve">be </w:t>
      </w:r>
      <w:r w:rsidR="007401E9">
        <w:t>formally terminated</w:t>
      </w:r>
      <w:r w:rsidR="00456260">
        <w:t>.</w:t>
      </w:r>
      <w:r w:rsidR="00321059">
        <w:t xml:space="preserve">  </w:t>
      </w:r>
    </w:p>
    <w:p w14:paraId="0E487DF0" w14:textId="158B4E2C" w:rsidR="00AA6F2E" w:rsidRDefault="00FF7E98" w:rsidP="008F744E">
      <w:pPr>
        <w:ind w:firstLine="720"/>
      </w:pPr>
      <w:r>
        <w:t xml:space="preserve">The proper tribunal to determine this Grievance is the Commission and SCAFR; it </w:t>
      </w:r>
      <w:r w:rsidR="00C93F2D">
        <w:t xml:space="preserve">cannot </w:t>
      </w:r>
      <w:r>
        <w:t xml:space="preserve">be adjudicated by the Law School’s Committee on Academic Freedom and Responsibility. </w:t>
      </w:r>
      <w:r w:rsidR="00AA6F2E">
        <w:t xml:space="preserve"> And that is because, pursuant to the Handbook, “If the complaint . . . is concerned with academic freedom [and] is brought against a . . . Dean, or involves . . . University policies of general interest, [then] SCAFR will have jurisdiction.”  Handbook, § II.E.12.III.B.</w:t>
      </w:r>
      <w:r w:rsidR="005E0D4B">
        <w:t xml:space="preserve">  In this case, Prof. Wax’s complaint is being brought against Dean Ruger and it certainly involve</w:t>
      </w:r>
      <w:r w:rsidR="00F5441C">
        <w:t>s</w:t>
      </w:r>
      <w:r w:rsidR="005E0D4B">
        <w:t xml:space="preserve"> “University policies of general interest</w:t>
      </w:r>
      <w:r w:rsidR="009E6F0A">
        <w:t>”</w:t>
      </w:r>
      <w:r w:rsidR="005E0D4B">
        <w:t xml:space="preserve"> (</w:t>
      </w:r>
      <w:r w:rsidR="005E0D4B" w:rsidRPr="00C93F2D">
        <w:rPr>
          <w:i/>
          <w:iCs/>
        </w:rPr>
        <w:t>i.e.</w:t>
      </w:r>
      <w:r w:rsidR="005E0D4B">
        <w:t>, what rules govern</w:t>
      </w:r>
      <w:r w:rsidR="00C93F2D">
        <w:t xml:space="preserve"> academic speech</w:t>
      </w:r>
      <w:r w:rsidR="00413660">
        <w:t>,</w:t>
      </w:r>
      <w:r w:rsidR="00C93F2D">
        <w:t xml:space="preserve"> </w:t>
      </w:r>
      <w:r w:rsidR="005E0D4B">
        <w:t>who a professor can invite to speak at class</w:t>
      </w:r>
      <w:r w:rsidR="00413660">
        <w:t>, etc.</w:t>
      </w:r>
      <w:r w:rsidR="005E0D4B">
        <w:t>).</w:t>
      </w:r>
      <w:r w:rsidR="008F744E">
        <w:t xml:space="preserve">  Because this Grievance </w:t>
      </w:r>
      <w:r w:rsidR="00F5441C">
        <w:t xml:space="preserve">is being brought against the Dean of the Law </w:t>
      </w:r>
      <w:r w:rsidR="00F5441C">
        <w:lastRenderedPageBreak/>
        <w:t xml:space="preserve">School, </w:t>
      </w:r>
      <w:r w:rsidR="008F744E">
        <w:t>the C</w:t>
      </w:r>
      <w:r w:rsidR="00AA6F2E">
        <w:t>hair</w:t>
      </w:r>
      <w:r w:rsidR="008F744E">
        <w:t xml:space="preserve"> </w:t>
      </w:r>
      <w:r w:rsidR="00AA6F2E">
        <w:t xml:space="preserve">of SCAFR </w:t>
      </w:r>
      <w:r w:rsidR="00F5441C">
        <w:t xml:space="preserve">cannot </w:t>
      </w:r>
      <w:r w:rsidR="00AA6F2E">
        <w:t xml:space="preserve">forward </w:t>
      </w:r>
      <w:r w:rsidR="00F5441C">
        <w:t xml:space="preserve">it </w:t>
      </w:r>
      <w:r w:rsidR="00AA6F2E">
        <w:t xml:space="preserve">to the </w:t>
      </w:r>
      <w:r w:rsidR="008F744E">
        <w:t>C</w:t>
      </w:r>
      <w:r w:rsidR="00AA6F2E">
        <w:t xml:space="preserve">hair of the </w:t>
      </w:r>
      <w:r w:rsidR="008F744E">
        <w:t>Law School C</w:t>
      </w:r>
      <w:r w:rsidR="00AA6F2E">
        <w:t xml:space="preserve">ommittee on </w:t>
      </w:r>
      <w:r w:rsidR="008F744E">
        <w:t>A</w:t>
      </w:r>
      <w:r w:rsidR="00AA6F2E">
        <w:t xml:space="preserve">cademic </w:t>
      </w:r>
      <w:r w:rsidR="008F744E">
        <w:t>F</w:t>
      </w:r>
      <w:r w:rsidR="00AA6F2E">
        <w:t xml:space="preserve">reedom and </w:t>
      </w:r>
      <w:r w:rsidR="008F744E">
        <w:t>R</w:t>
      </w:r>
      <w:r w:rsidR="00AA6F2E">
        <w:t>esponsibility</w:t>
      </w:r>
      <w:r w:rsidR="00F5441C">
        <w:t xml:space="preserve"> for </w:t>
      </w:r>
      <w:r w:rsidR="00872BA8">
        <w:t>adjudication and resolution</w:t>
      </w:r>
      <w:r w:rsidR="00F5441C">
        <w:t>.</w:t>
      </w:r>
    </w:p>
    <w:p w14:paraId="39656966" w14:textId="1C42B6AB" w:rsidR="00CF72D2" w:rsidRDefault="00CF72D2" w:rsidP="00CF72D2">
      <w:pPr>
        <w:ind w:firstLine="720"/>
      </w:pPr>
      <w:r>
        <w:t xml:space="preserve">After </w:t>
      </w:r>
      <w:r w:rsidRPr="004F602D">
        <w:t xml:space="preserve">SCAFR </w:t>
      </w:r>
      <w:r>
        <w:t xml:space="preserve">has </w:t>
      </w:r>
      <w:r w:rsidRPr="004F602D">
        <w:t>communicate</w:t>
      </w:r>
      <w:r>
        <w:t>d</w:t>
      </w:r>
      <w:r w:rsidRPr="004F602D">
        <w:t xml:space="preserve"> its findings to the </w:t>
      </w:r>
      <w:r>
        <w:t xml:space="preserve">Commission, we are confident that it will conclude that Prof. Wax’s case against Dean Ruger </w:t>
      </w:r>
      <w:r w:rsidR="003556AF">
        <w:t xml:space="preserve">indeed </w:t>
      </w:r>
      <w:r>
        <w:t xml:space="preserve">involves essential issues of </w:t>
      </w:r>
      <w:r w:rsidRPr="004F602D">
        <w:t>academic freedom</w:t>
      </w:r>
      <w:r w:rsidR="000256E2">
        <w:t xml:space="preserve">.  </w:t>
      </w:r>
      <w:r>
        <w:t xml:space="preserve">And because Prof. Wax’s </w:t>
      </w:r>
      <w:r w:rsidRPr="004F602D">
        <w:t>complaint is concerned with academic freedom</w:t>
      </w:r>
      <w:r w:rsidR="00453250">
        <w:t xml:space="preserve"> of expression</w:t>
      </w:r>
      <w:r>
        <w:t xml:space="preserve">, </w:t>
      </w:r>
      <w:r w:rsidRPr="004F602D">
        <w:t xml:space="preserve">is </w:t>
      </w:r>
      <w:r>
        <w:t xml:space="preserve">being brought </w:t>
      </w:r>
      <w:r w:rsidRPr="004F602D">
        <w:t xml:space="preserve">against </w:t>
      </w:r>
      <w:r>
        <w:t>Dean Ruger</w:t>
      </w:r>
      <w:r w:rsidR="00774991">
        <w:t>,</w:t>
      </w:r>
      <w:r>
        <w:t xml:space="preserve"> and </w:t>
      </w:r>
      <w:r w:rsidRPr="004F602D">
        <w:t xml:space="preserve">involves </w:t>
      </w:r>
      <w:r w:rsidR="00A64786">
        <w:t xml:space="preserve">not just the Law School but also </w:t>
      </w:r>
      <w:r w:rsidRPr="004F602D">
        <w:t xml:space="preserve">University policies of general interest, </w:t>
      </w:r>
      <w:r>
        <w:rPr>
          <w:i/>
          <w:iCs/>
        </w:rPr>
        <w:t>only</w:t>
      </w:r>
      <w:r>
        <w:t xml:space="preserve"> </w:t>
      </w:r>
      <w:r w:rsidRPr="004F602D">
        <w:t xml:space="preserve">SCAFR </w:t>
      </w:r>
      <w:r w:rsidR="00B34D41">
        <w:t xml:space="preserve">can </w:t>
      </w:r>
      <w:r w:rsidR="00EF448A">
        <w:t xml:space="preserve">determine the merits of the </w:t>
      </w:r>
      <w:r w:rsidR="00B34D41">
        <w:t>G</w:t>
      </w:r>
      <w:r w:rsidR="00EF448A">
        <w:t>rievance</w:t>
      </w:r>
      <w:r w:rsidRPr="004F602D">
        <w:t xml:space="preserve">. </w:t>
      </w:r>
      <w:r>
        <w:t xml:space="preserve"> Any hearing that results from this </w:t>
      </w:r>
      <w:r w:rsidR="004F3A79">
        <w:t>G</w:t>
      </w:r>
      <w:r>
        <w:t xml:space="preserve">rievance must be conducted pursuant to the rules found in Section II.E.12 of the </w:t>
      </w:r>
      <w:r w:rsidR="005B0197">
        <w:t>Handbook (procedures after filing a grievance).</w:t>
      </w:r>
      <w:r>
        <w:t xml:space="preserve">  </w:t>
      </w:r>
      <w:r w:rsidR="001173E6">
        <w:t>We are confident that, once the proper proce</w:t>
      </w:r>
      <w:r w:rsidR="005D2576">
        <w:t>ssing of this Grievance is complete,</w:t>
      </w:r>
      <w:r w:rsidR="001173E6" w:rsidRPr="001173E6">
        <w:t xml:space="preserve"> SCAFR and the Commission will determine that the Dean has compromised </w:t>
      </w:r>
      <w:r w:rsidR="00F5441C">
        <w:t xml:space="preserve">Prof. </w:t>
      </w:r>
      <w:r w:rsidR="005D2576">
        <w:t xml:space="preserve">Wax’s </w:t>
      </w:r>
      <w:r w:rsidR="00C93F2D">
        <w:t xml:space="preserve">academic </w:t>
      </w:r>
      <w:r w:rsidR="001173E6" w:rsidRPr="001173E6">
        <w:t xml:space="preserve">freedoms in violation of </w:t>
      </w:r>
      <w:proofErr w:type="gramStart"/>
      <w:r w:rsidR="001173E6" w:rsidRPr="001173E6">
        <w:t>University</w:t>
      </w:r>
      <w:proofErr w:type="gramEnd"/>
      <w:r w:rsidR="001173E6" w:rsidRPr="001173E6">
        <w:t xml:space="preserve"> polic</w:t>
      </w:r>
      <w:r w:rsidR="008603FA">
        <w:t>ies</w:t>
      </w:r>
      <w:r w:rsidR="001173E6" w:rsidRPr="001173E6">
        <w:t xml:space="preserve">, regulations, and guarantees, and in contravention of </w:t>
      </w:r>
      <w:r w:rsidR="00F5441C">
        <w:t xml:space="preserve">her </w:t>
      </w:r>
      <w:r w:rsidR="001173E6" w:rsidRPr="001173E6">
        <w:t xml:space="preserve">tenure contract. </w:t>
      </w:r>
    </w:p>
    <w:p w14:paraId="02895144" w14:textId="26041636" w:rsidR="00CF72D2" w:rsidRDefault="00392013" w:rsidP="00CF72D2">
      <w:pPr>
        <w:spacing w:before="240"/>
        <w:ind w:firstLine="720"/>
      </w:pPr>
      <w:r>
        <w:t>Moreover, a</w:t>
      </w:r>
      <w:r w:rsidR="00255655">
        <w:t>s part of the process of considering this Grievance</w:t>
      </w:r>
      <w:r w:rsidR="00212DA9">
        <w:t>, p</w:t>
      </w:r>
      <w:r w:rsidR="00CF72D2">
        <w:t xml:space="preserve">er the </w:t>
      </w:r>
      <w:r w:rsidR="0004523A">
        <w:t>Commission’s procedures</w:t>
      </w:r>
      <w:r w:rsidR="00CF72D2">
        <w:t>, “t</w:t>
      </w:r>
      <w:r w:rsidR="00CF72D2" w:rsidRPr="000167A2">
        <w:t xml:space="preserve">he Commission will have access to </w:t>
      </w:r>
      <w:r w:rsidR="00CF72D2" w:rsidRPr="000167A2">
        <w:rPr>
          <w:b/>
          <w:bCs/>
          <w:i/>
          <w:iCs/>
          <w:u w:val="single"/>
        </w:rPr>
        <w:t>all</w:t>
      </w:r>
      <w:r w:rsidR="00CF72D2" w:rsidRPr="000167A2">
        <w:t xml:space="preserve"> documentary evidence that is in the custody of or under the control of the person or persons who took the action complained </w:t>
      </w:r>
      <w:r w:rsidR="00CF72D2">
        <w:t xml:space="preserve">of </w:t>
      </w:r>
      <w:r w:rsidR="004F3A79">
        <w:t>[</w:t>
      </w:r>
      <w:r w:rsidR="00CF72D2">
        <w:t>here, Dean Ruger</w:t>
      </w:r>
      <w:r w:rsidR="004F3A79">
        <w:t>]</w:t>
      </w:r>
      <w:r w:rsidR="00CF72D2">
        <w:t xml:space="preserve"> </w:t>
      </w:r>
      <w:r w:rsidR="00CF72D2" w:rsidRPr="000167A2">
        <w:t>or of the grievant and that is deemed by the Commission to be relevant to the grievance</w:t>
      </w:r>
      <w:r w:rsidR="00CF72D2">
        <w:t xml:space="preserve">.”  </w:t>
      </w:r>
      <w:r w:rsidR="00FB1EA9">
        <w:t>Handbook, § II.E.12.IV</w:t>
      </w:r>
      <w:r w:rsidR="00F84E06">
        <w:t xml:space="preserve"> </w:t>
      </w:r>
      <w:r w:rsidR="00CF72D2">
        <w:t xml:space="preserve">(emphasis added).  Regarding documentary evidence, the </w:t>
      </w:r>
      <w:r w:rsidR="0004523A">
        <w:t xml:space="preserve">Handbook </w:t>
      </w:r>
      <w:r w:rsidR="00CF72D2">
        <w:t xml:space="preserve">explains, </w:t>
      </w:r>
    </w:p>
    <w:p w14:paraId="68FF3DB2" w14:textId="77777777" w:rsidR="00CF72D2" w:rsidRDefault="00CF72D2" w:rsidP="00CF72D2">
      <w:pPr>
        <w:pStyle w:val="Quote"/>
      </w:pPr>
      <w:r w:rsidRPr="000167A2">
        <w:t xml:space="preserve">If documentary evidence is needed by the grievant </w:t>
      </w:r>
      <w:r>
        <w:t xml:space="preserve">. . . </w:t>
      </w:r>
      <w:r w:rsidRPr="000167A2">
        <w:t xml:space="preserve">in the preparation of </w:t>
      </w:r>
      <w:r>
        <w:t xml:space="preserve">. . . </w:t>
      </w:r>
      <w:r w:rsidRPr="000167A2">
        <w:t>her case</w:t>
      </w:r>
      <w:r>
        <w:t xml:space="preserve"> . . . </w:t>
      </w:r>
      <w:r w:rsidRPr="000167A2">
        <w:t>application will be made to the Presiding Officer</w:t>
      </w:r>
      <w:r>
        <w:t xml:space="preserve">. . . .  </w:t>
      </w:r>
      <w:r w:rsidRPr="000167A2">
        <w:t xml:space="preserve">The Presiding Officer will then obtain all relevant evidence. </w:t>
      </w:r>
      <w:r>
        <w:t xml:space="preserve"> </w:t>
      </w:r>
      <w:r w:rsidRPr="000167A2">
        <w:t>All such evidence will be available to the panel, the respondent, the colleagues, and, subject to the restrictions of confidentiality set forth below, to the grievant.</w:t>
      </w:r>
    </w:p>
    <w:p w14:paraId="10574EB1" w14:textId="0C25C82D" w:rsidR="002D4FE4" w:rsidRDefault="00CF72D2" w:rsidP="003319D4">
      <w:r>
        <w:rPr>
          <w:i/>
          <w:iCs/>
        </w:rPr>
        <w:lastRenderedPageBreak/>
        <w:t>Id</w:t>
      </w:r>
      <w:r>
        <w:t xml:space="preserve">.  As </w:t>
      </w:r>
      <w:r w:rsidR="0004523A">
        <w:t xml:space="preserve">we </w:t>
      </w:r>
      <w:r>
        <w:t xml:space="preserve">explained </w:t>
      </w:r>
      <w:r w:rsidR="00C235BA">
        <w:t xml:space="preserve">in </w:t>
      </w:r>
      <w:r w:rsidR="00DF3963">
        <w:t>our</w:t>
      </w:r>
      <w:r w:rsidR="00C235BA">
        <w:t xml:space="preserve"> Aug</w:t>
      </w:r>
      <w:r w:rsidR="00C93F2D">
        <w:t>. Memo</w:t>
      </w:r>
      <w:r w:rsidR="0004523A">
        <w:t xml:space="preserve">, </w:t>
      </w:r>
      <w:r w:rsidR="005737D6">
        <w:t xml:space="preserve">to defend herself against Dean Ruger’s charges that she made false statements, </w:t>
      </w:r>
      <w:r>
        <w:t xml:space="preserve">Prof. Wax must have documentary information on, among other things, the grades and class standing of </w:t>
      </w:r>
      <w:r w:rsidR="009A6EC1">
        <w:t>Black</w:t>
      </w:r>
      <w:r>
        <w:t xml:space="preserve"> Law School students, which Dean Ruger refuses to provide.</w:t>
      </w:r>
      <w:r w:rsidR="007745ED">
        <w:t xml:space="preserve">  </w:t>
      </w:r>
      <w:r w:rsidR="000A576F">
        <w:t xml:space="preserve">As </w:t>
      </w:r>
      <w:r w:rsidR="004853FA">
        <w:t xml:space="preserve">SCAFR </w:t>
      </w:r>
      <w:r w:rsidR="000A576F">
        <w:t>has also made clear</w:t>
      </w:r>
      <w:r w:rsidR="000E5BE0">
        <w:t>:</w:t>
      </w:r>
    </w:p>
    <w:p w14:paraId="4C8D3D33" w14:textId="66FB2BD8" w:rsidR="000E5BE0" w:rsidRDefault="009D0744" w:rsidP="000E5BE0">
      <w:pPr>
        <w:pStyle w:val="Quote"/>
      </w:pPr>
      <w:r>
        <w:t>[N]</w:t>
      </w:r>
      <w:r w:rsidR="000E5BE0" w:rsidRPr="00B34BF6">
        <w:t xml:space="preserve">o evidence will be considered without disclosure to both sides. </w:t>
      </w:r>
      <w:r w:rsidR="000E5BE0">
        <w:t xml:space="preserve"> </w:t>
      </w:r>
      <w:r w:rsidR="000E5BE0" w:rsidRPr="00B34BF6">
        <w:t xml:space="preserve">If a witness does not wish such disclosure, he or she will not be permitted to </w:t>
      </w:r>
      <w:proofErr w:type="gramStart"/>
      <w:r w:rsidR="000E5BE0" w:rsidRPr="00B34BF6">
        <w:t>testify</w:t>
      </w:r>
      <w:proofErr w:type="gramEnd"/>
      <w:r w:rsidR="000E5BE0" w:rsidRPr="00B34BF6">
        <w:t xml:space="preserve"> and the proffered testimony will not be considere</w:t>
      </w:r>
      <w:r w:rsidR="004D2BA4">
        <w:t>d[.]</w:t>
      </w:r>
    </w:p>
    <w:p w14:paraId="2007F43D" w14:textId="512CA773" w:rsidR="000E5BE0" w:rsidRDefault="004D2BA4" w:rsidP="000E5BE0">
      <w:r>
        <w:t>SCAF</w:t>
      </w:r>
      <w:r w:rsidR="007C57E1">
        <w:t>R</w:t>
      </w:r>
      <w:r>
        <w:t xml:space="preserve"> </w:t>
      </w:r>
      <w:r w:rsidRPr="004D2BA4">
        <w:t>Special Report (February 10, 1997)</w:t>
      </w:r>
      <w:r w:rsidR="001E4019">
        <w:t xml:space="preserve"> (Ex. A)</w:t>
      </w:r>
      <w:r>
        <w:t xml:space="preserve">.  </w:t>
      </w:r>
      <w:r w:rsidR="007C57E1">
        <w:t>In other words, pursuant to SCAFR</w:t>
      </w:r>
      <w:r w:rsidR="00040B8C">
        <w:t xml:space="preserve"> procedures</w:t>
      </w:r>
      <w:r w:rsidR="007C57E1">
        <w:t xml:space="preserve">, if Dean Ruger elects not </w:t>
      </w:r>
      <w:r w:rsidR="00184E54">
        <w:t>to make</w:t>
      </w:r>
      <w:r w:rsidR="007C57E1">
        <w:t xml:space="preserve"> information on grades and class standing by race</w:t>
      </w:r>
      <w:r w:rsidR="00184E54">
        <w:t xml:space="preserve"> available</w:t>
      </w:r>
      <w:r w:rsidR="0099003F">
        <w:t xml:space="preserve"> to Prof. Wax</w:t>
      </w:r>
      <w:r w:rsidR="007C57E1">
        <w:t xml:space="preserve">, he </w:t>
      </w:r>
      <w:r w:rsidR="00F01BAA">
        <w:t>can</w:t>
      </w:r>
      <w:r w:rsidR="007C57E1">
        <w:t xml:space="preserve">not testify at the Grievance hearing.  </w:t>
      </w:r>
      <w:r w:rsidR="00E24254">
        <w:t xml:space="preserve">Specifically, he </w:t>
      </w:r>
      <w:r w:rsidR="00F01BAA">
        <w:t>can</w:t>
      </w:r>
      <w:r w:rsidR="00E24254">
        <w:t>not be heard to claim that Prof. Wax made inaccurate statements about law student performance by race.</w:t>
      </w:r>
    </w:p>
    <w:p w14:paraId="655EC95B" w14:textId="479E2005" w:rsidR="000D3451" w:rsidRDefault="007745ED" w:rsidP="002D4FE4">
      <w:pPr>
        <w:ind w:firstLine="720"/>
      </w:pPr>
      <w:r>
        <w:t xml:space="preserve">As the previous </w:t>
      </w:r>
      <w:r w:rsidR="00350930">
        <w:t>Aug. M</w:t>
      </w:r>
      <w:r>
        <w:t xml:space="preserve">emo </w:t>
      </w:r>
      <w:r w:rsidR="00073C80">
        <w:t>also</w:t>
      </w:r>
      <w:r>
        <w:t xml:space="preserve"> explains, </w:t>
      </w:r>
      <w:r w:rsidR="00350930">
        <w:t xml:space="preserve">there are </w:t>
      </w:r>
      <w:r>
        <w:t xml:space="preserve">many other matters of clarification </w:t>
      </w:r>
      <w:r w:rsidR="00350930">
        <w:t xml:space="preserve">which must be </w:t>
      </w:r>
      <w:r>
        <w:t>resolve</w:t>
      </w:r>
      <w:r w:rsidR="00350930">
        <w:t>d</w:t>
      </w:r>
      <w:r>
        <w:t xml:space="preserve"> </w:t>
      </w:r>
      <w:r w:rsidR="00350930">
        <w:t xml:space="preserve">in connection with </w:t>
      </w:r>
      <w:r>
        <w:t xml:space="preserve">this </w:t>
      </w:r>
      <w:r w:rsidR="00CC6699">
        <w:t>G</w:t>
      </w:r>
      <w:r>
        <w:t>rievance.</w:t>
      </w:r>
      <w:r w:rsidR="003319D4">
        <w:t xml:space="preserve">  </w:t>
      </w:r>
      <w:r w:rsidR="000D3451">
        <w:t xml:space="preserve">The Commission and </w:t>
      </w:r>
      <w:r w:rsidR="00CC6699">
        <w:t xml:space="preserve">SCAFR </w:t>
      </w:r>
      <w:r w:rsidR="000D3451">
        <w:t>should grant all the informational and disclosure request</w:t>
      </w:r>
      <w:r w:rsidR="00CC6699">
        <w:t xml:space="preserve">s </w:t>
      </w:r>
      <w:r w:rsidR="000D3451">
        <w:t xml:space="preserve">in </w:t>
      </w:r>
      <w:r w:rsidR="00CC6699">
        <w:t>Prof. Wax’s Aug</w:t>
      </w:r>
      <w:r w:rsidR="00C93F2D">
        <w:t xml:space="preserve">. </w:t>
      </w:r>
      <w:r w:rsidR="00CC6699">
        <w:t>M</w:t>
      </w:r>
      <w:r w:rsidR="000D3451">
        <w:t>emo</w:t>
      </w:r>
      <w:r w:rsidR="00CC6699">
        <w:t>.</w:t>
      </w:r>
      <w:r w:rsidR="00B34D41">
        <w:t xml:space="preserve">  A</w:t>
      </w:r>
      <w:r w:rsidR="000D3451">
        <w:t xml:space="preserve">fter considering Prof. Wax’s </w:t>
      </w:r>
      <w:r w:rsidR="00B34D41">
        <w:t>G</w:t>
      </w:r>
      <w:r w:rsidR="000D3451">
        <w:t>rievance</w:t>
      </w:r>
      <w:r w:rsidR="00FC7D0D">
        <w:t>,</w:t>
      </w:r>
      <w:r w:rsidR="000D3451">
        <w:t xml:space="preserve"> corrective action</w:t>
      </w:r>
      <w:r w:rsidR="00FE4384">
        <w:t xml:space="preserve"> should be</w:t>
      </w:r>
      <w:r w:rsidR="000D3451">
        <w:t xml:space="preserve"> immediately</w:t>
      </w:r>
      <w:r w:rsidR="00FE4384">
        <w:t xml:space="preserve"> ordered</w:t>
      </w:r>
      <w:r w:rsidR="000D3451">
        <w:t>.</w:t>
      </w:r>
    </w:p>
    <w:p w14:paraId="54EBD97E" w14:textId="0CDFAE2C" w:rsidR="004F602D" w:rsidRDefault="004F602D" w:rsidP="00EE02DA">
      <w:pPr>
        <w:pStyle w:val="Title"/>
        <w:keepNext/>
      </w:pPr>
      <w:bookmarkStart w:id="10" w:name="_Toc124755380"/>
      <w:r>
        <w:t>conclusion</w:t>
      </w:r>
      <w:r w:rsidR="00B35CE9">
        <w:t xml:space="preserve"> and relief requested</w:t>
      </w:r>
      <w:bookmarkEnd w:id="10"/>
    </w:p>
    <w:p w14:paraId="0B9E7A65" w14:textId="47F33BD6" w:rsidR="000132B3" w:rsidRDefault="004F602D" w:rsidP="00FE3B05">
      <w:r>
        <w:tab/>
      </w:r>
      <w:r w:rsidR="00DB7D1C">
        <w:t xml:space="preserve">For the foregoing reasons, the Commission </w:t>
      </w:r>
      <w:r w:rsidR="008238F8" w:rsidRPr="00DB7D1C">
        <w:t xml:space="preserve">Chair </w:t>
      </w:r>
      <w:r w:rsidR="00DB7D1C" w:rsidRPr="00DB7D1C">
        <w:t xml:space="preserve">must send a copy of this </w:t>
      </w:r>
      <w:r w:rsidR="0004523A">
        <w:t>G</w:t>
      </w:r>
      <w:r w:rsidR="00DB7D1C" w:rsidRPr="00DB7D1C">
        <w:t>rievance to SCAFR</w:t>
      </w:r>
      <w:r w:rsidR="00DB7D1C">
        <w:t xml:space="preserve"> where, pursuant to its rules and procedures, the issues raised in this </w:t>
      </w:r>
      <w:r w:rsidR="00E27B9D">
        <w:t>G</w:t>
      </w:r>
      <w:r w:rsidR="00DB7D1C">
        <w:t>rievance can be adjudicated</w:t>
      </w:r>
      <w:r w:rsidR="00B35CE9">
        <w:t xml:space="preserve"> and the following relief granted:</w:t>
      </w:r>
    </w:p>
    <w:p w14:paraId="363806EC" w14:textId="662D890E" w:rsidR="00B35CE9" w:rsidRDefault="00B35CE9" w:rsidP="004E5424">
      <w:pPr>
        <w:pStyle w:val="ListParagraph"/>
        <w:numPr>
          <w:ilvl w:val="1"/>
          <w:numId w:val="5"/>
        </w:numPr>
        <w:spacing w:line="240" w:lineRule="auto"/>
      </w:pPr>
      <w:r>
        <w:t>All proceedings before the Faculty Senate on Dean Ruger’s charges against Prof. Wax are immediately</w:t>
      </w:r>
      <w:r w:rsidR="00DF3963">
        <w:t xml:space="preserve"> halted</w:t>
      </w:r>
      <w:r w:rsidR="004B7398">
        <w:t xml:space="preserve"> and the proceedings formally terminated</w:t>
      </w:r>
      <w:r>
        <w:t>.</w:t>
      </w:r>
    </w:p>
    <w:p w14:paraId="25E8121D" w14:textId="77777777" w:rsidR="004E5424" w:rsidRDefault="004E5424" w:rsidP="004E5424">
      <w:pPr>
        <w:pStyle w:val="ListParagraph"/>
        <w:spacing w:line="240" w:lineRule="auto"/>
        <w:ind w:left="1440"/>
      </w:pPr>
    </w:p>
    <w:p w14:paraId="1E6E6EDE" w14:textId="5662C338" w:rsidR="00B35CE9" w:rsidRDefault="00B35CE9" w:rsidP="004E5424">
      <w:pPr>
        <w:pStyle w:val="ListParagraph"/>
        <w:numPr>
          <w:ilvl w:val="1"/>
          <w:numId w:val="5"/>
        </w:numPr>
        <w:spacing w:line="240" w:lineRule="auto"/>
      </w:pPr>
      <w:r>
        <w:t>Dean Ruger’s charges against Prof. Wax are withdrawn</w:t>
      </w:r>
      <w:r w:rsidRPr="003319D4">
        <w:t xml:space="preserve"> in their entirety.</w:t>
      </w:r>
    </w:p>
    <w:p w14:paraId="007AEC43" w14:textId="77777777" w:rsidR="004E5424" w:rsidRDefault="004E5424" w:rsidP="004E5424">
      <w:pPr>
        <w:pStyle w:val="ListParagraph"/>
        <w:spacing w:line="240" w:lineRule="auto"/>
        <w:ind w:left="1440"/>
      </w:pPr>
    </w:p>
    <w:p w14:paraId="0D9FFA0B" w14:textId="530BA30C" w:rsidR="00B35CE9" w:rsidRDefault="00B35CE9" w:rsidP="004E5424">
      <w:pPr>
        <w:pStyle w:val="ListParagraph"/>
        <w:numPr>
          <w:ilvl w:val="1"/>
          <w:numId w:val="5"/>
        </w:numPr>
        <w:spacing w:line="240" w:lineRule="auto"/>
      </w:pPr>
      <w:r>
        <w:lastRenderedPageBreak/>
        <w:t>Dean Ruger is ordered to restore Professor Wax’s teaching responsibilities for First Year Civil Procedure.</w:t>
      </w:r>
    </w:p>
    <w:p w14:paraId="08F104F2" w14:textId="77777777" w:rsidR="004E5424" w:rsidRDefault="004E5424" w:rsidP="004E5424">
      <w:pPr>
        <w:pStyle w:val="ListParagraph"/>
        <w:spacing w:line="240" w:lineRule="auto"/>
        <w:ind w:left="1440"/>
      </w:pPr>
    </w:p>
    <w:p w14:paraId="4D481EBC" w14:textId="55542474" w:rsidR="00B35CE9" w:rsidRDefault="00B35CE9" w:rsidP="004E5424">
      <w:pPr>
        <w:pStyle w:val="ListParagraph"/>
        <w:numPr>
          <w:ilvl w:val="1"/>
          <w:numId w:val="5"/>
        </w:numPr>
        <w:spacing w:line="240" w:lineRule="auto"/>
      </w:pPr>
      <w:r>
        <w:t xml:space="preserve">Dean Ruger is ordered to stop </w:t>
      </w:r>
      <w:r w:rsidR="00F01BAA">
        <w:t xml:space="preserve">publicly </w:t>
      </w:r>
      <w:r>
        <w:t xml:space="preserve">condemning Prof. Wax for her comments, opinions, and speech </w:t>
      </w:r>
      <w:r w:rsidR="00E0295D">
        <w:t>and must</w:t>
      </w:r>
      <w:r>
        <w:t xml:space="preserve"> instead instruct objecting students and others on Prof. Wax’s right</w:t>
      </w:r>
      <w:r w:rsidR="002E4A57">
        <w:t>s</w:t>
      </w:r>
      <w:r>
        <w:t xml:space="preserve"> under </w:t>
      </w:r>
      <w:proofErr w:type="gramStart"/>
      <w:r w:rsidR="003774F7">
        <w:t>U</w:t>
      </w:r>
      <w:r>
        <w:t>niversity</w:t>
      </w:r>
      <w:proofErr w:type="gramEnd"/>
      <w:r>
        <w:t xml:space="preserve"> rules and her tenure contract to express her opinion freely</w:t>
      </w:r>
      <w:r w:rsidR="002E4A57">
        <w:t xml:space="preserve"> without penalty, discipline, or sanction of any kind</w:t>
      </w:r>
      <w:r w:rsidR="00C246FD">
        <w:t xml:space="preserve">, and should encourage University Members to rebut or </w:t>
      </w:r>
      <w:r w:rsidR="002203F5">
        <w:t>debate her views if they so desire.</w:t>
      </w:r>
    </w:p>
    <w:p w14:paraId="3184BFA7" w14:textId="77777777" w:rsidR="004E5424" w:rsidRDefault="004E5424" w:rsidP="004E5424">
      <w:pPr>
        <w:pStyle w:val="ListParagraph"/>
        <w:spacing w:line="240" w:lineRule="auto"/>
        <w:ind w:left="1440"/>
      </w:pPr>
    </w:p>
    <w:p w14:paraId="62CFE89D" w14:textId="34B6BBCE" w:rsidR="00B35CE9" w:rsidRDefault="00B35CE9" w:rsidP="004E5424">
      <w:pPr>
        <w:pStyle w:val="ListParagraph"/>
        <w:numPr>
          <w:ilvl w:val="1"/>
          <w:numId w:val="5"/>
        </w:numPr>
        <w:spacing w:line="240" w:lineRule="auto"/>
      </w:pPr>
      <w:r>
        <w:t xml:space="preserve">Dean Ruger </w:t>
      </w:r>
      <w:r w:rsidR="004E5424">
        <w:t xml:space="preserve">is </w:t>
      </w:r>
      <w:r>
        <w:t xml:space="preserve">ordered to comply with </w:t>
      </w:r>
      <w:r w:rsidRPr="00F72B98">
        <w:rPr>
          <w:i/>
          <w:iCs/>
        </w:rPr>
        <w:t>all</w:t>
      </w:r>
      <w:r>
        <w:t xml:space="preserve"> of the requests for information found in Prof. Wax’s Aug</w:t>
      </w:r>
      <w:r w:rsidR="00682BDB">
        <w:t>. M</w:t>
      </w:r>
      <w:r>
        <w:t>emo, including by not limited to arranging for an outside examination of student grades by race, as pertinent to his allegations that Professor Wax spoke “falsely” on the topic.</w:t>
      </w:r>
    </w:p>
    <w:p w14:paraId="78980865" w14:textId="77777777" w:rsidR="004E5424" w:rsidRDefault="004E5424" w:rsidP="004E5424">
      <w:pPr>
        <w:pStyle w:val="ListParagraph"/>
        <w:spacing w:line="240" w:lineRule="auto"/>
        <w:ind w:left="1440"/>
      </w:pPr>
    </w:p>
    <w:p w14:paraId="5D1BB277" w14:textId="34ABB05E" w:rsidR="00B35CE9" w:rsidRDefault="00B35CE9" w:rsidP="004E5424">
      <w:pPr>
        <w:pStyle w:val="ListParagraph"/>
        <w:numPr>
          <w:ilvl w:val="1"/>
          <w:numId w:val="5"/>
        </w:numPr>
        <w:spacing w:line="240" w:lineRule="auto"/>
      </w:pPr>
      <w:r>
        <w:t xml:space="preserve">Dean Ruger </w:t>
      </w:r>
      <w:r w:rsidR="004E5424">
        <w:t xml:space="preserve">is </w:t>
      </w:r>
      <w:r>
        <w:t xml:space="preserve">ordered to stop stating that students can expect Prof. Wax to be “biased” against minority students, and </w:t>
      </w:r>
      <w:r w:rsidR="00DD22E0">
        <w:t>to</w:t>
      </w:r>
      <w:r>
        <w:t xml:space="preserve"> correct the record by declaring publicly that there is no evidence of any such bias.</w:t>
      </w:r>
    </w:p>
    <w:p w14:paraId="03EE0538" w14:textId="77777777" w:rsidR="004E5424" w:rsidRDefault="004E5424" w:rsidP="004E5424">
      <w:pPr>
        <w:pStyle w:val="ListParagraph"/>
        <w:spacing w:line="240" w:lineRule="auto"/>
        <w:ind w:left="1440"/>
      </w:pPr>
    </w:p>
    <w:p w14:paraId="0A9A5A7F" w14:textId="7B86F83C" w:rsidR="00B35CE9" w:rsidRDefault="00B35CE9" w:rsidP="004E5424">
      <w:pPr>
        <w:pStyle w:val="ListParagraph"/>
        <w:numPr>
          <w:ilvl w:val="1"/>
          <w:numId w:val="5"/>
        </w:numPr>
        <w:spacing w:line="240" w:lineRule="auto"/>
      </w:pPr>
      <w:r>
        <w:t xml:space="preserve">Dean Ruger </w:t>
      </w:r>
      <w:r w:rsidR="004E5424">
        <w:t xml:space="preserve">is ordered to </w:t>
      </w:r>
      <w:r>
        <w:t>cease creating and authorizing courses that are redundant of the subjects that Professor Wax teaches in the law school.</w:t>
      </w:r>
    </w:p>
    <w:p w14:paraId="1E680B3D" w14:textId="77777777" w:rsidR="004E5424" w:rsidRDefault="004E5424" w:rsidP="004E5424">
      <w:pPr>
        <w:pStyle w:val="ListParagraph"/>
        <w:spacing w:line="240" w:lineRule="auto"/>
        <w:ind w:left="1440"/>
      </w:pPr>
    </w:p>
    <w:p w14:paraId="5E8E76C1" w14:textId="225DCB36" w:rsidR="00B35CE9" w:rsidRPr="003319D4" w:rsidRDefault="00B35CE9" w:rsidP="004E5424">
      <w:pPr>
        <w:pStyle w:val="ListParagraph"/>
        <w:numPr>
          <w:ilvl w:val="1"/>
          <w:numId w:val="5"/>
        </w:numPr>
        <w:spacing w:line="240" w:lineRule="auto"/>
      </w:pPr>
      <w:r>
        <w:t xml:space="preserve">The Commission and SCAFR </w:t>
      </w:r>
      <w:r w:rsidR="00054A45">
        <w:t>should order or take any</w:t>
      </w:r>
      <w:r>
        <w:t xml:space="preserve"> further action appropriate and necessary to correct the academic freedom violations and harms inflicted by Dean Ruger </w:t>
      </w:r>
      <w:r w:rsidR="00682BDB">
        <w:t xml:space="preserve">on </w:t>
      </w:r>
      <w:r>
        <w:t xml:space="preserve">Penn </w:t>
      </w:r>
      <w:r w:rsidR="00AE63CF">
        <w:t xml:space="preserve">Law </w:t>
      </w:r>
      <w:r w:rsidR="00682BDB">
        <w:t xml:space="preserve">and </w:t>
      </w:r>
      <w:r>
        <w:t>Professor Wax.</w:t>
      </w:r>
    </w:p>
    <w:p w14:paraId="59517EBA" w14:textId="44F676EA" w:rsidR="00DB7D1C" w:rsidRDefault="00DB7D1C" w:rsidP="00FE3B05">
      <w:r>
        <w:t>Dated:</w:t>
      </w:r>
      <w:r>
        <w:tab/>
        <w:t xml:space="preserve">January </w:t>
      </w:r>
      <w:r w:rsidR="00350930">
        <w:t>16</w:t>
      </w:r>
      <w:r>
        <w:t>, 2022</w:t>
      </w:r>
    </w:p>
    <w:p w14:paraId="489CB0D4" w14:textId="78549FF2" w:rsidR="00F34082" w:rsidRDefault="00F34082" w:rsidP="00F34082">
      <w:pPr>
        <w:spacing w:after="0" w:line="240" w:lineRule="auto"/>
        <w:ind w:left="4320"/>
      </w:pPr>
      <w:r>
        <w:t>SHAPIRO LITIGATION GROUP PLLC</w:t>
      </w:r>
    </w:p>
    <w:p w14:paraId="3E389333" w14:textId="77777777" w:rsidR="00F34082" w:rsidRDefault="00F34082" w:rsidP="00F34082">
      <w:pPr>
        <w:spacing w:after="0" w:line="240" w:lineRule="auto"/>
        <w:ind w:left="4320"/>
      </w:pPr>
    </w:p>
    <w:p w14:paraId="1B73F1BB" w14:textId="77777777" w:rsidR="00F34082" w:rsidRDefault="00F34082" w:rsidP="00F34082">
      <w:pPr>
        <w:spacing w:after="0" w:line="240" w:lineRule="auto"/>
        <w:ind w:left="4320"/>
      </w:pPr>
      <w:r>
        <w:t>By: ____________________________</w:t>
      </w:r>
    </w:p>
    <w:p w14:paraId="4A0D637B" w14:textId="77777777" w:rsidR="00F34082" w:rsidRDefault="00F34082" w:rsidP="00F34082">
      <w:pPr>
        <w:spacing w:after="0" w:line="240" w:lineRule="auto"/>
        <w:ind w:left="4320"/>
      </w:pPr>
      <w:r>
        <w:t xml:space="preserve">       </w:t>
      </w:r>
      <w:r>
        <w:tab/>
        <w:t>David J. Shapiro</w:t>
      </w:r>
    </w:p>
    <w:p w14:paraId="7EAE49A2" w14:textId="252AFCE5" w:rsidR="00F34082" w:rsidRDefault="00F34082" w:rsidP="00F34082">
      <w:pPr>
        <w:spacing w:after="0" w:line="240" w:lineRule="auto"/>
        <w:ind w:left="4320"/>
      </w:pPr>
      <w:r>
        <w:tab/>
        <w:t xml:space="preserve"> </w:t>
      </w:r>
    </w:p>
    <w:p w14:paraId="7F4BD7E4" w14:textId="77777777" w:rsidR="00F34082" w:rsidRDefault="00F34082" w:rsidP="00F34082">
      <w:pPr>
        <w:spacing w:after="0" w:line="240" w:lineRule="auto"/>
        <w:ind w:left="4320"/>
      </w:pPr>
    </w:p>
    <w:p w14:paraId="1BA63267" w14:textId="77777777" w:rsidR="00F34082" w:rsidRDefault="00F34082" w:rsidP="00F34082">
      <w:pPr>
        <w:spacing w:after="0" w:line="240" w:lineRule="auto"/>
        <w:ind w:left="4320"/>
      </w:pPr>
      <w:r>
        <w:t xml:space="preserve">1460 Broadway, Suite 7019 </w:t>
      </w:r>
    </w:p>
    <w:p w14:paraId="51E85489" w14:textId="77777777" w:rsidR="00F34082" w:rsidRDefault="00F34082" w:rsidP="00F34082">
      <w:pPr>
        <w:spacing w:after="0" w:line="240" w:lineRule="auto"/>
        <w:ind w:left="4320"/>
      </w:pPr>
      <w:r>
        <w:t>New York, New York 10036</w:t>
      </w:r>
    </w:p>
    <w:p w14:paraId="58FFF1AC" w14:textId="77777777" w:rsidR="00F34082" w:rsidRDefault="00F34082" w:rsidP="00F34082">
      <w:pPr>
        <w:spacing w:after="0" w:line="240" w:lineRule="auto"/>
        <w:ind w:left="4320"/>
      </w:pPr>
      <w:r>
        <w:t>dshapiro@shapirojuris.com</w:t>
      </w:r>
    </w:p>
    <w:p w14:paraId="6DE72E85" w14:textId="77777777" w:rsidR="00F34082" w:rsidRDefault="00F34082" w:rsidP="00F34082">
      <w:pPr>
        <w:spacing w:after="0" w:line="240" w:lineRule="auto"/>
        <w:ind w:left="4320"/>
      </w:pPr>
      <w:r>
        <w:t xml:space="preserve">Office:  (212) 265-2870 </w:t>
      </w:r>
    </w:p>
    <w:p w14:paraId="58F098C1" w14:textId="77777777" w:rsidR="00F34082" w:rsidRDefault="00F34082" w:rsidP="00F34082">
      <w:pPr>
        <w:spacing w:after="0" w:line="240" w:lineRule="auto"/>
        <w:ind w:left="4320"/>
      </w:pPr>
      <w:r>
        <w:t>Fax:  (917) 210-3236</w:t>
      </w:r>
    </w:p>
    <w:p w14:paraId="21210872" w14:textId="77777777" w:rsidR="00F34082" w:rsidRDefault="00F34082" w:rsidP="00F34082">
      <w:pPr>
        <w:spacing w:after="0" w:line="240" w:lineRule="auto"/>
        <w:ind w:left="4320"/>
      </w:pPr>
    </w:p>
    <w:p w14:paraId="10501C65" w14:textId="676D396F" w:rsidR="00DB7D1C" w:rsidRPr="000132B3" w:rsidRDefault="00F34082" w:rsidP="00F34082">
      <w:pPr>
        <w:ind w:left="3600" w:firstLine="720"/>
      </w:pPr>
      <w:r w:rsidRPr="009531AC">
        <w:rPr>
          <w:i/>
        </w:rPr>
        <w:t>Attorneys for</w:t>
      </w:r>
      <w:r>
        <w:rPr>
          <w:i/>
        </w:rPr>
        <w:t xml:space="preserve"> Grievant Prof. Amy L. Wax</w:t>
      </w:r>
    </w:p>
    <w:sectPr w:rsidR="00DB7D1C" w:rsidRPr="000132B3" w:rsidSect="00D4052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FEB71" w14:textId="77777777" w:rsidR="0014005C" w:rsidRDefault="0014005C" w:rsidP="00CD08C8">
      <w:pPr>
        <w:spacing w:after="0" w:line="240" w:lineRule="auto"/>
      </w:pPr>
      <w:r>
        <w:separator/>
      </w:r>
    </w:p>
  </w:endnote>
  <w:endnote w:type="continuationSeparator" w:id="0">
    <w:p w14:paraId="35196C03" w14:textId="77777777" w:rsidR="0014005C" w:rsidRDefault="0014005C" w:rsidP="00CD0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636C" w14:textId="77777777" w:rsidR="00D4052D" w:rsidRDefault="00D40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140641"/>
      <w:docPartObj>
        <w:docPartGallery w:val="Page Numbers (Bottom of Page)"/>
        <w:docPartUnique/>
      </w:docPartObj>
    </w:sdtPr>
    <w:sdtEndPr>
      <w:rPr>
        <w:noProof/>
      </w:rPr>
    </w:sdtEndPr>
    <w:sdtContent>
      <w:p w14:paraId="3553020E" w14:textId="77777777" w:rsidR="001365A4" w:rsidRDefault="005B045A">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3B801044" w14:textId="239D2106" w:rsidR="001365A4" w:rsidRDefault="006E1681">
        <w:pPr>
          <w:pStyle w:val="Footer"/>
          <w:jc w:val="center"/>
          <w:rPr>
            <w:noProof/>
          </w:rPr>
        </w:pPr>
      </w:p>
    </w:sdtContent>
  </w:sdt>
  <w:p w14:paraId="438C55A8" w14:textId="54A30CC4" w:rsidR="00664F32" w:rsidRDefault="00664F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0482" w14:textId="77777777" w:rsidR="00D4052D" w:rsidRDefault="00D40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2A652" w14:textId="77777777" w:rsidR="0014005C" w:rsidRDefault="0014005C" w:rsidP="00CD08C8">
      <w:pPr>
        <w:spacing w:after="0" w:line="240" w:lineRule="auto"/>
      </w:pPr>
      <w:r>
        <w:separator/>
      </w:r>
    </w:p>
  </w:footnote>
  <w:footnote w:type="continuationSeparator" w:id="0">
    <w:p w14:paraId="6AFCA81D" w14:textId="77777777" w:rsidR="0014005C" w:rsidRDefault="0014005C" w:rsidP="00CD08C8">
      <w:pPr>
        <w:spacing w:after="0" w:line="240" w:lineRule="auto"/>
      </w:pPr>
      <w:r>
        <w:continuationSeparator/>
      </w:r>
    </w:p>
  </w:footnote>
  <w:footnote w:id="1">
    <w:p w14:paraId="06581854" w14:textId="122F5CE1" w:rsidR="00BE5EDA" w:rsidRDefault="00BE5EDA">
      <w:pPr>
        <w:pStyle w:val="FootnoteText"/>
      </w:pPr>
      <w:r>
        <w:rPr>
          <w:rStyle w:val="FootnoteReference"/>
        </w:rPr>
        <w:footnoteRef/>
      </w:r>
      <w:r>
        <w:t xml:space="preserve"> The substantive and procedural guarantees memorialized in those policies are attached hereto as Exhibit A.</w:t>
      </w:r>
    </w:p>
  </w:footnote>
  <w:footnote w:id="2">
    <w:p w14:paraId="6E5158B8" w14:textId="5EA38116" w:rsidR="00D55176" w:rsidRDefault="00D55176">
      <w:pPr>
        <w:pStyle w:val="FootnoteText"/>
      </w:pPr>
      <w:r>
        <w:rPr>
          <w:rStyle w:val="FootnoteReference"/>
        </w:rPr>
        <w:footnoteRef/>
      </w:r>
      <w:r>
        <w:t xml:space="preserve"> </w:t>
      </w:r>
      <w:r w:rsidRPr="00D55176">
        <w:t xml:space="preserve">In 2013, a cross-University faculty committee was convened to review the University’s Faculty Grievance Procedure (Section II.E.12 of the Faculty Handbook), with the goals of “better aligning the policy with current procedures, removing obsolete language and clarifying key issues such as the use and confidentiality of documents.”  University of Pennsylvania Almanac, Volume 61, No. 02 (August 26, 2014).  The committee’s recommendations were further reviewed by the Faculty Senate Executive Committee and the Council of Deans, as well as by the Faculty Senate Committee on Academic Freedom and Responsibility and the Faculty Senate Committee on Faculty and the Administration.  </w:t>
      </w:r>
    </w:p>
  </w:footnote>
  <w:footnote w:id="3">
    <w:p w14:paraId="0749E799" w14:textId="6DC2DBBB" w:rsidR="009B070D" w:rsidRDefault="009B070D" w:rsidP="009B070D">
      <w:pPr>
        <w:pStyle w:val="FootnoteText"/>
      </w:pPr>
      <w:r>
        <w:rPr>
          <w:rStyle w:val="FootnoteReference"/>
        </w:rPr>
        <w:footnoteRef/>
      </w:r>
      <w:r>
        <w:t xml:space="preserve"> Prof. Wax did not</w:t>
      </w:r>
      <w:r w:rsidR="00997FC2">
        <w:t>, as provided in the Handbook,</w:t>
      </w:r>
      <w:r>
        <w:t xml:space="preserve"> “</w:t>
      </w:r>
      <w:r w:rsidRPr="00CF3F53">
        <w:t xml:space="preserve">first review </w:t>
      </w:r>
      <w:r>
        <w:t xml:space="preserve">[her] </w:t>
      </w:r>
      <w:r w:rsidRPr="00CF3F53">
        <w:t xml:space="preserve">complaint with </w:t>
      </w:r>
      <w:r w:rsidR="00D55176">
        <w:t xml:space="preserve">. . . </w:t>
      </w:r>
      <w:r w:rsidRPr="00CF3F53">
        <w:t>her Department Chair or Dean, or, alternatively, the Vice Provost for Faculty</w:t>
      </w:r>
      <w:r w:rsidR="00CC29B2">
        <w:t>,</w:t>
      </w:r>
      <w:r>
        <w:t xml:space="preserve">” </w:t>
      </w:r>
      <w:r w:rsidR="00944AE9">
        <w:t xml:space="preserve">nor did she </w:t>
      </w:r>
      <w:r w:rsidR="00944AE9" w:rsidRPr="00944AE9">
        <w:t>consult with the University Ombudsman</w:t>
      </w:r>
      <w:r w:rsidR="003227CF">
        <w:t>,</w:t>
      </w:r>
      <w:r w:rsidR="00944AE9" w:rsidRPr="00944AE9">
        <w:t xml:space="preserve"> </w:t>
      </w:r>
      <w:r w:rsidR="00944AE9">
        <w:t>b</w:t>
      </w:r>
      <w:r>
        <w:t>ecause to do so would have been futile given Dean Ruger’s initiation of proceedings against her.</w:t>
      </w:r>
      <w:r w:rsidR="00FA52D5">
        <w:t xml:space="preserve"> </w:t>
      </w:r>
      <w:r>
        <w:t xml:space="preserve"> </w:t>
      </w:r>
      <w:r w:rsidR="00D620EB">
        <w:t xml:space="preserve">In addition, </w:t>
      </w:r>
      <w:r w:rsidR="00E77501">
        <w:t>she was</w:t>
      </w:r>
      <w:r w:rsidR="00E77501" w:rsidRPr="00E77501">
        <w:t xml:space="preserve"> given a deadline to reply to the Hearing Board by Jan</w:t>
      </w:r>
      <w:r w:rsidR="00CC29B2">
        <w:t>uary</w:t>
      </w:r>
      <w:r w:rsidR="00E77501" w:rsidRPr="00E77501">
        <w:t xml:space="preserve"> 17, </w:t>
      </w:r>
      <w:r w:rsidR="00753C1F">
        <w:t>2023</w:t>
      </w:r>
      <w:r w:rsidR="00101CF7">
        <w:t xml:space="preserve"> and judged it </w:t>
      </w:r>
      <w:r w:rsidR="00E77501" w:rsidRPr="00E77501">
        <w:t xml:space="preserve">best to file </w:t>
      </w:r>
      <w:r w:rsidR="00C652E7">
        <w:t>her G</w:t>
      </w:r>
      <w:r w:rsidR="00E77501" w:rsidRPr="00E77501">
        <w:t xml:space="preserve">rievance on or before this </w:t>
      </w:r>
      <w:r w:rsidR="003227CF">
        <w:t>date</w:t>
      </w:r>
      <w:r w:rsidR="002D255A">
        <w:t xml:space="preserve">, which effectively precluded the </w:t>
      </w:r>
      <w:r w:rsidR="00975048">
        <w:t xml:space="preserve">time and </w:t>
      </w:r>
      <w:r w:rsidR="002D255A">
        <w:t>opportunity for consultation.</w:t>
      </w:r>
      <w:r w:rsidR="003227CF">
        <w:t xml:space="preserve">  </w:t>
      </w:r>
      <w:r w:rsidR="00C670F8" w:rsidRPr="00C670F8">
        <w:t xml:space="preserve">Prof. Wax would nonetheless welcome any discussions with the </w:t>
      </w:r>
      <w:r w:rsidR="00C652E7">
        <w:t xml:space="preserve">Faculty </w:t>
      </w:r>
      <w:r w:rsidR="00C670F8" w:rsidRPr="00C670F8">
        <w:t xml:space="preserve">Vice Provost or Ombudsman </w:t>
      </w:r>
      <w:r w:rsidR="00C747F5">
        <w:t xml:space="preserve">prior to </w:t>
      </w:r>
      <w:r w:rsidR="00E63086">
        <w:t xml:space="preserve">any further </w:t>
      </w:r>
      <w:r w:rsidR="009F55FA">
        <w:t xml:space="preserve">formal </w:t>
      </w:r>
      <w:r w:rsidR="00C747F5">
        <w:t>proceedings on th</w:t>
      </w:r>
      <w:r w:rsidR="00E63086">
        <w:t>is</w:t>
      </w:r>
      <w:r w:rsidR="00C747F5">
        <w:t xml:space="preserve"> </w:t>
      </w:r>
      <w:r w:rsidR="00C652E7">
        <w:t>G</w:t>
      </w:r>
      <w:r w:rsidR="00C747F5">
        <w:t xml:space="preserve">rievance </w:t>
      </w:r>
      <w:r w:rsidR="00C670F8" w:rsidRPr="00C670F8">
        <w:t xml:space="preserve">if </w:t>
      </w:r>
      <w:r w:rsidR="003652CE">
        <w:t>that would facilitate</w:t>
      </w:r>
      <w:r w:rsidR="00C670F8" w:rsidRPr="00C670F8">
        <w:t xml:space="preserve"> an </w:t>
      </w:r>
      <w:r w:rsidR="00C652E7">
        <w:t>“</w:t>
      </w:r>
      <w:r w:rsidR="00C670F8" w:rsidRPr="00C670F8">
        <w:t>equitable resolution</w:t>
      </w:r>
      <w:r w:rsidR="00C652E7">
        <w:t>”</w:t>
      </w:r>
      <w:r w:rsidR="00C670F8" w:rsidRPr="00C670F8">
        <w:t xml:space="preserve"> of this matter.</w:t>
      </w:r>
    </w:p>
  </w:footnote>
  <w:footnote w:id="4">
    <w:p w14:paraId="3A14FD9A" w14:textId="6CE17542" w:rsidR="00FB150C" w:rsidRDefault="00FB150C">
      <w:pPr>
        <w:pStyle w:val="FootnoteText"/>
      </w:pPr>
      <w:r>
        <w:rPr>
          <w:rStyle w:val="FootnoteReference"/>
        </w:rPr>
        <w:footnoteRef/>
      </w:r>
      <w:r>
        <w:t xml:space="preserve"> Undefined terms are defined in Ex. A.</w:t>
      </w:r>
    </w:p>
  </w:footnote>
  <w:footnote w:id="5">
    <w:p w14:paraId="39D9B2B3" w14:textId="31341269" w:rsidR="0044532D" w:rsidRDefault="0044532D">
      <w:pPr>
        <w:pStyle w:val="FootnoteText"/>
      </w:pPr>
      <w:r>
        <w:rPr>
          <w:rStyle w:val="FootnoteReference"/>
        </w:rPr>
        <w:footnoteRef/>
      </w:r>
      <w:r>
        <w:t xml:space="preserve"> A copy of </w:t>
      </w:r>
      <w:r w:rsidR="001F03EF">
        <w:t xml:space="preserve">the Rodriguez Report is attached as Exhibit </w:t>
      </w:r>
      <w:r w:rsidR="0065040E">
        <w:t>2</w:t>
      </w:r>
      <w:r w:rsidR="001F03EF">
        <w:t xml:space="preserve"> to the August </w:t>
      </w:r>
      <w:r w:rsidR="0065040E">
        <w:t>31</w:t>
      </w:r>
      <w:r w:rsidR="001F03EF">
        <w:t>, 2022 Memorandum to the Faculty Chair (the “Aug. Mem</w:t>
      </w:r>
      <w:r w:rsidR="006B0FD8">
        <w:t>o</w:t>
      </w:r>
      <w:r w:rsidR="001F03E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58B3A" w14:textId="77777777" w:rsidR="00D4052D" w:rsidRDefault="00D40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13843" w14:textId="77777777" w:rsidR="00D4052D" w:rsidRDefault="00D405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5F30E" w14:textId="77777777" w:rsidR="00D4052D" w:rsidRDefault="00D405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167"/>
    <w:multiLevelType w:val="multilevel"/>
    <w:tmpl w:val="4872B61A"/>
    <w:lvl w:ilvl="0">
      <w:start w:val="1"/>
      <w:numFmt w:val="upperRoman"/>
      <w:pStyle w:val="Heading1"/>
      <w:lvlText w:val="%1."/>
      <w:lvlJc w:val="right"/>
      <w:pPr>
        <w:ind w:left="1080"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8F41D5"/>
    <w:multiLevelType w:val="hybridMultilevel"/>
    <w:tmpl w:val="8CE01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1064B"/>
    <w:multiLevelType w:val="hybridMultilevel"/>
    <w:tmpl w:val="B27A6C78"/>
    <w:lvl w:ilvl="0" w:tplc="BEE25802">
      <w:start w:val="1"/>
      <w:numFmt w:val="upperRoman"/>
      <w:lvlText w:val="%1."/>
      <w:lvlJc w:val="left"/>
      <w:pPr>
        <w:ind w:left="1080" w:hanging="720"/>
      </w:pPr>
      <w:rPr>
        <w:rFonts w:ascii="Times New Roman" w:eastAsiaTheme="minorHAnsi" w:hAnsi="Times New Roman" w:cs="Times New Roman" w:hint="default"/>
        <w:color w:val="0000FF"/>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CC1F4D"/>
    <w:multiLevelType w:val="hybridMultilevel"/>
    <w:tmpl w:val="EB42EF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98922AB"/>
    <w:multiLevelType w:val="hybridMultilevel"/>
    <w:tmpl w:val="7E0CF5A6"/>
    <w:lvl w:ilvl="0" w:tplc="41F483C4">
      <w:start w:val="1"/>
      <w:numFmt w:val="upperLetter"/>
      <w:pStyle w:val="Heading2"/>
      <w:lvlText w:val="%1."/>
      <w:lvlJc w:val="left"/>
      <w:pPr>
        <w:ind w:left="99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4BF943AC"/>
    <w:multiLevelType w:val="multilevel"/>
    <w:tmpl w:val="23C23972"/>
    <w:lvl w:ilvl="0">
      <w:start w:val="1"/>
      <w:numFmt w:val="upperRoman"/>
      <w:lvlText w:val="%1."/>
      <w:lvlJc w:val="righ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5962FF7"/>
    <w:multiLevelType w:val="hybridMultilevel"/>
    <w:tmpl w:val="8738E7F2"/>
    <w:lvl w:ilvl="0" w:tplc="D6A2A986">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E132E1"/>
    <w:multiLevelType w:val="hybridMultilevel"/>
    <w:tmpl w:val="53D8FD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5796299">
    <w:abstractNumId w:val="5"/>
  </w:num>
  <w:num w:numId="2" w16cid:durableId="2067295784">
    <w:abstractNumId w:val="5"/>
  </w:num>
  <w:num w:numId="3" w16cid:durableId="1322345860">
    <w:abstractNumId w:val="5"/>
  </w:num>
  <w:num w:numId="4" w16cid:durableId="1306202703">
    <w:abstractNumId w:val="5"/>
  </w:num>
  <w:num w:numId="5" w16cid:durableId="672923860">
    <w:abstractNumId w:val="0"/>
  </w:num>
  <w:num w:numId="6" w16cid:durableId="1248080940">
    <w:abstractNumId w:val="4"/>
  </w:num>
  <w:num w:numId="7" w16cid:durableId="10688348">
    <w:abstractNumId w:val="6"/>
  </w:num>
  <w:num w:numId="8" w16cid:durableId="1089423140">
    <w:abstractNumId w:val="6"/>
    <w:lvlOverride w:ilvl="0">
      <w:startOverride w:val="1"/>
    </w:lvlOverride>
  </w:num>
  <w:num w:numId="9" w16cid:durableId="1723820895">
    <w:abstractNumId w:val="6"/>
    <w:lvlOverride w:ilvl="0">
      <w:startOverride w:val="1"/>
    </w:lvlOverride>
  </w:num>
  <w:num w:numId="10" w16cid:durableId="2094083927">
    <w:abstractNumId w:val="6"/>
    <w:lvlOverride w:ilvl="0">
      <w:startOverride w:val="1"/>
    </w:lvlOverride>
  </w:num>
  <w:num w:numId="11" w16cid:durableId="466093506">
    <w:abstractNumId w:val="6"/>
    <w:lvlOverride w:ilvl="0">
      <w:startOverride w:val="1"/>
    </w:lvlOverride>
  </w:num>
  <w:num w:numId="12" w16cid:durableId="1986884169">
    <w:abstractNumId w:val="6"/>
    <w:lvlOverride w:ilvl="0">
      <w:startOverride w:val="1"/>
    </w:lvlOverride>
  </w:num>
  <w:num w:numId="13" w16cid:durableId="228881249">
    <w:abstractNumId w:val="6"/>
    <w:lvlOverride w:ilvl="0">
      <w:startOverride w:val="1"/>
    </w:lvlOverride>
  </w:num>
  <w:num w:numId="14" w16cid:durableId="181432149">
    <w:abstractNumId w:val="7"/>
  </w:num>
  <w:num w:numId="15" w16cid:durableId="2046639475">
    <w:abstractNumId w:val="6"/>
    <w:lvlOverride w:ilvl="0">
      <w:startOverride w:val="1"/>
    </w:lvlOverride>
  </w:num>
  <w:num w:numId="16" w16cid:durableId="777338351">
    <w:abstractNumId w:val="4"/>
    <w:lvlOverride w:ilvl="0">
      <w:startOverride w:val="1"/>
    </w:lvlOverride>
  </w:num>
  <w:num w:numId="17" w16cid:durableId="912397484">
    <w:abstractNumId w:val="6"/>
    <w:lvlOverride w:ilvl="0">
      <w:startOverride w:val="1"/>
    </w:lvlOverride>
  </w:num>
  <w:num w:numId="18" w16cid:durableId="408432394">
    <w:abstractNumId w:val="6"/>
    <w:lvlOverride w:ilvl="0">
      <w:startOverride w:val="1"/>
    </w:lvlOverride>
  </w:num>
  <w:num w:numId="19" w16cid:durableId="1784761">
    <w:abstractNumId w:val="4"/>
    <w:lvlOverride w:ilvl="0">
      <w:startOverride w:val="1"/>
    </w:lvlOverride>
  </w:num>
  <w:num w:numId="20" w16cid:durableId="1847164733">
    <w:abstractNumId w:val="6"/>
    <w:lvlOverride w:ilvl="0">
      <w:startOverride w:val="1"/>
    </w:lvlOverride>
  </w:num>
  <w:num w:numId="21" w16cid:durableId="149249946">
    <w:abstractNumId w:val="6"/>
    <w:lvlOverride w:ilvl="0">
      <w:startOverride w:val="1"/>
    </w:lvlOverride>
  </w:num>
  <w:num w:numId="22" w16cid:durableId="1459302259">
    <w:abstractNumId w:val="6"/>
    <w:lvlOverride w:ilvl="0">
      <w:startOverride w:val="1"/>
    </w:lvlOverride>
  </w:num>
  <w:num w:numId="23" w16cid:durableId="1331325999">
    <w:abstractNumId w:val="4"/>
    <w:lvlOverride w:ilvl="0">
      <w:startOverride w:val="1"/>
    </w:lvlOverride>
  </w:num>
  <w:num w:numId="24" w16cid:durableId="960497118">
    <w:abstractNumId w:val="1"/>
  </w:num>
  <w:num w:numId="25" w16cid:durableId="1749185450">
    <w:abstractNumId w:val="4"/>
    <w:lvlOverride w:ilvl="0">
      <w:startOverride w:val="1"/>
    </w:lvlOverride>
  </w:num>
  <w:num w:numId="26" w16cid:durableId="1041707840">
    <w:abstractNumId w:val="6"/>
    <w:lvlOverride w:ilvl="0">
      <w:startOverride w:val="1"/>
    </w:lvlOverride>
  </w:num>
  <w:num w:numId="27" w16cid:durableId="1389303792">
    <w:abstractNumId w:val="6"/>
    <w:lvlOverride w:ilvl="0">
      <w:startOverride w:val="1"/>
    </w:lvlOverride>
  </w:num>
  <w:num w:numId="28" w16cid:durableId="608397407">
    <w:abstractNumId w:val="4"/>
    <w:lvlOverride w:ilvl="0">
      <w:startOverride w:val="1"/>
    </w:lvlOverride>
  </w:num>
  <w:num w:numId="29" w16cid:durableId="1160579052">
    <w:abstractNumId w:val="6"/>
    <w:lvlOverride w:ilvl="0">
      <w:startOverride w:val="1"/>
    </w:lvlOverride>
  </w:num>
  <w:num w:numId="30" w16cid:durableId="339084021">
    <w:abstractNumId w:val="3"/>
  </w:num>
  <w:num w:numId="31" w16cid:durableId="1171144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338"/>
    <w:rsid w:val="00001DAD"/>
    <w:rsid w:val="00003B1B"/>
    <w:rsid w:val="00010F9B"/>
    <w:rsid w:val="000132B3"/>
    <w:rsid w:val="000138DD"/>
    <w:rsid w:val="0001472E"/>
    <w:rsid w:val="00014B8C"/>
    <w:rsid w:val="000167A2"/>
    <w:rsid w:val="00016E2C"/>
    <w:rsid w:val="0001712D"/>
    <w:rsid w:val="000256E2"/>
    <w:rsid w:val="0003321E"/>
    <w:rsid w:val="00040B8C"/>
    <w:rsid w:val="00043082"/>
    <w:rsid w:val="0004523A"/>
    <w:rsid w:val="00045578"/>
    <w:rsid w:val="00046F17"/>
    <w:rsid w:val="00051AF0"/>
    <w:rsid w:val="00051AF5"/>
    <w:rsid w:val="000531D4"/>
    <w:rsid w:val="00054218"/>
    <w:rsid w:val="00054A45"/>
    <w:rsid w:val="00063D04"/>
    <w:rsid w:val="00073B3A"/>
    <w:rsid w:val="00073C80"/>
    <w:rsid w:val="00074733"/>
    <w:rsid w:val="000818F1"/>
    <w:rsid w:val="00085516"/>
    <w:rsid w:val="00085A5C"/>
    <w:rsid w:val="00090254"/>
    <w:rsid w:val="000925FD"/>
    <w:rsid w:val="00093604"/>
    <w:rsid w:val="00097B9D"/>
    <w:rsid w:val="00097E9D"/>
    <w:rsid w:val="000A0E3B"/>
    <w:rsid w:val="000A576F"/>
    <w:rsid w:val="000A5C6C"/>
    <w:rsid w:val="000A6BC5"/>
    <w:rsid w:val="000B0254"/>
    <w:rsid w:val="000B1017"/>
    <w:rsid w:val="000B1338"/>
    <w:rsid w:val="000B1DBE"/>
    <w:rsid w:val="000B35F1"/>
    <w:rsid w:val="000B3C4F"/>
    <w:rsid w:val="000B7BC8"/>
    <w:rsid w:val="000D191F"/>
    <w:rsid w:val="000D3035"/>
    <w:rsid w:val="000D3451"/>
    <w:rsid w:val="000D3F03"/>
    <w:rsid w:val="000E00EC"/>
    <w:rsid w:val="000E02E1"/>
    <w:rsid w:val="000E343F"/>
    <w:rsid w:val="000E3492"/>
    <w:rsid w:val="000E5BE0"/>
    <w:rsid w:val="000E7AAD"/>
    <w:rsid w:val="000E7E10"/>
    <w:rsid w:val="000F3CDF"/>
    <w:rsid w:val="000F55C3"/>
    <w:rsid w:val="000F64F5"/>
    <w:rsid w:val="000F684D"/>
    <w:rsid w:val="000F79C6"/>
    <w:rsid w:val="00101CF7"/>
    <w:rsid w:val="00103629"/>
    <w:rsid w:val="001061A6"/>
    <w:rsid w:val="00110624"/>
    <w:rsid w:val="00112205"/>
    <w:rsid w:val="001127EA"/>
    <w:rsid w:val="00114973"/>
    <w:rsid w:val="001173E6"/>
    <w:rsid w:val="00117767"/>
    <w:rsid w:val="00130431"/>
    <w:rsid w:val="00130704"/>
    <w:rsid w:val="001317B5"/>
    <w:rsid w:val="001365A4"/>
    <w:rsid w:val="0014005C"/>
    <w:rsid w:val="0014236D"/>
    <w:rsid w:val="001432AE"/>
    <w:rsid w:val="00144232"/>
    <w:rsid w:val="001478AD"/>
    <w:rsid w:val="00154F1A"/>
    <w:rsid w:val="00155CF1"/>
    <w:rsid w:val="00156573"/>
    <w:rsid w:val="00156769"/>
    <w:rsid w:val="0015685E"/>
    <w:rsid w:val="0016071B"/>
    <w:rsid w:val="001613B9"/>
    <w:rsid w:val="00162EF7"/>
    <w:rsid w:val="00164A76"/>
    <w:rsid w:val="00165E68"/>
    <w:rsid w:val="00172F79"/>
    <w:rsid w:val="00175FF9"/>
    <w:rsid w:val="001768AB"/>
    <w:rsid w:val="001802FB"/>
    <w:rsid w:val="00182BD9"/>
    <w:rsid w:val="00184E54"/>
    <w:rsid w:val="001920B1"/>
    <w:rsid w:val="00192E88"/>
    <w:rsid w:val="00192F1A"/>
    <w:rsid w:val="00196F9B"/>
    <w:rsid w:val="001A2D94"/>
    <w:rsid w:val="001A4467"/>
    <w:rsid w:val="001B0BA6"/>
    <w:rsid w:val="001B47B8"/>
    <w:rsid w:val="001B6A64"/>
    <w:rsid w:val="001C0DE3"/>
    <w:rsid w:val="001C1B56"/>
    <w:rsid w:val="001C2372"/>
    <w:rsid w:val="001C2E4D"/>
    <w:rsid w:val="001C60DA"/>
    <w:rsid w:val="001D0065"/>
    <w:rsid w:val="001D0984"/>
    <w:rsid w:val="001D5247"/>
    <w:rsid w:val="001D5350"/>
    <w:rsid w:val="001E4019"/>
    <w:rsid w:val="001E52FE"/>
    <w:rsid w:val="001E62BD"/>
    <w:rsid w:val="001F03EF"/>
    <w:rsid w:val="001F0829"/>
    <w:rsid w:val="001F110B"/>
    <w:rsid w:val="001F3B3F"/>
    <w:rsid w:val="001F6323"/>
    <w:rsid w:val="001F6656"/>
    <w:rsid w:val="001F796C"/>
    <w:rsid w:val="002027F6"/>
    <w:rsid w:val="00202F8E"/>
    <w:rsid w:val="00203998"/>
    <w:rsid w:val="002056C3"/>
    <w:rsid w:val="0021201D"/>
    <w:rsid w:val="00212DA9"/>
    <w:rsid w:val="002168BD"/>
    <w:rsid w:val="002203F5"/>
    <w:rsid w:val="0022314A"/>
    <w:rsid w:val="0022330F"/>
    <w:rsid w:val="00225598"/>
    <w:rsid w:val="0023227A"/>
    <w:rsid w:val="002331A1"/>
    <w:rsid w:val="002376D1"/>
    <w:rsid w:val="00250D02"/>
    <w:rsid w:val="00251706"/>
    <w:rsid w:val="00254141"/>
    <w:rsid w:val="00255655"/>
    <w:rsid w:val="00255DFD"/>
    <w:rsid w:val="00257239"/>
    <w:rsid w:val="00257ABB"/>
    <w:rsid w:val="00266392"/>
    <w:rsid w:val="00267507"/>
    <w:rsid w:val="00267E4A"/>
    <w:rsid w:val="00271494"/>
    <w:rsid w:val="00273A20"/>
    <w:rsid w:val="002769C0"/>
    <w:rsid w:val="00277BE4"/>
    <w:rsid w:val="00283B3D"/>
    <w:rsid w:val="002850D8"/>
    <w:rsid w:val="0028639A"/>
    <w:rsid w:val="00290BE4"/>
    <w:rsid w:val="00291282"/>
    <w:rsid w:val="0029316C"/>
    <w:rsid w:val="00293718"/>
    <w:rsid w:val="00294C4A"/>
    <w:rsid w:val="00294E5B"/>
    <w:rsid w:val="002A2306"/>
    <w:rsid w:val="002A68A1"/>
    <w:rsid w:val="002A7358"/>
    <w:rsid w:val="002B63D4"/>
    <w:rsid w:val="002C0FB8"/>
    <w:rsid w:val="002C2FC4"/>
    <w:rsid w:val="002D255A"/>
    <w:rsid w:val="002D453D"/>
    <w:rsid w:val="002D4FE4"/>
    <w:rsid w:val="002D785E"/>
    <w:rsid w:val="002E017F"/>
    <w:rsid w:val="002E21DC"/>
    <w:rsid w:val="002E42FE"/>
    <w:rsid w:val="002E4378"/>
    <w:rsid w:val="002E499C"/>
    <w:rsid w:val="002E4A57"/>
    <w:rsid w:val="002E57D9"/>
    <w:rsid w:val="002E6C64"/>
    <w:rsid w:val="002E7AB8"/>
    <w:rsid w:val="002F5B04"/>
    <w:rsid w:val="003025BF"/>
    <w:rsid w:val="00305ADF"/>
    <w:rsid w:val="003061BD"/>
    <w:rsid w:val="003075D3"/>
    <w:rsid w:val="00307DA5"/>
    <w:rsid w:val="00317F9B"/>
    <w:rsid w:val="00320437"/>
    <w:rsid w:val="00321059"/>
    <w:rsid w:val="003227CF"/>
    <w:rsid w:val="003319D4"/>
    <w:rsid w:val="00333D52"/>
    <w:rsid w:val="003341FF"/>
    <w:rsid w:val="003353CE"/>
    <w:rsid w:val="00336638"/>
    <w:rsid w:val="00337653"/>
    <w:rsid w:val="003408C4"/>
    <w:rsid w:val="00342BD8"/>
    <w:rsid w:val="0034328C"/>
    <w:rsid w:val="003441A9"/>
    <w:rsid w:val="00350930"/>
    <w:rsid w:val="00351FE4"/>
    <w:rsid w:val="00352641"/>
    <w:rsid w:val="0035354F"/>
    <w:rsid w:val="003556AF"/>
    <w:rsid w:val="003561AC"/>
    <w:rsid w:val="00360272"/>
    <w:rsid w:val="003652CE"/>
    <w:rsid w:val="00374109"/>
    <w:rsid w:val="00375130"/>
    <w:rsid w:val="00375418"/>
    <w:rsid w:val="003774F7"/>
    <w:rsid w:val="00380132"/>
    <w:rsid w:val="0038346A"/>
    <w:rsid w:val="00385516"/>
    <w:rsid w:val="00387019"/>
    <w:rsid w:val="003906CF"/>
    <w:rsid w:val="00392013"/>
    <w:rsid w:val="00393387"/>
    <w:rsid w:val="00395F24"/>
    <w:rsid w:val="00397EE6"/>
    <w:rsid w:val="003A1540"/>
    <w:rsid w:val="003A75C0"/>
    <w:rsid w:val="003B12CF"/>
    <w:rsid w:val="003B52F5"/>
    <w:rsid w:val="003B61F0"/>
    <w:rsid w:val="003B61F7"/>
    <w:rsid w:val="003B643E"/>
    <w:rsid w:val="003C15AA"/>
    <w:rsid w:val="003C3872"/>
    <w:rsid w:val="003C4FE8"/>
    <w:rsid w:val="003D2F78"/>
    <w:rsid w:val="003D40D8"/>
    <w:rsid w:val="003D4574"/>
    <w:rsid w:val="003E030C"/>
    <w:rsid w:val="003E1CAB"/>
    <w:rsid w:val="003F4539"/>
    <w:rsid w:val="003F4694"/>
    <w:rsid w:val="003F4783"/>
    <w:rsid w:val="003F5612"/>
    <w:rsid w:val="003F615B"/>
    <w:rsid w:val="003F63E1"/>
    <w:rsid w:val="003F7296"/>
    <w:rsid w:val="00402583"/>
    <w:rsid w:val="00411254"/>
    <w:rsid w:val="00413660"/>
    <w:rsid w:val="00413996"/>
    <w:rsid w:val="00414C37"/>
    <w:rsid w:val="00416A40"/>
    <w:rsid w:val="00422325"/>
    <w:rsid w:val="004250FD"/>
    <w:rsid w:val="00426540"/>
    <w:rsid w:val="004267C6"/>
    <w:rsid w:val="0042690C"/>
    <w:rsid w:val="004307DA"/>
    <w:rsid w:val="0043090C"/>
    <w:rsid w:val="00433905"/>
    <w:rsid w:val="0043402C"/>
    <w:rsid w:val="00437251"/>
    <w:rsid w:val="00440912"/>
    <w:rsid w:val="00440EA0"/>
    <w:rsid w:val="00442EEC"/>
    <w:rsid w:val="0044532D"/>
    <w:rsid w:val="00447640"/>
    <w:rsid w:val="00451ACE"/>
    <w:rsid w:val="00453250"/>
    <w:rsid w:val="004540FB"/>
    <w:rsid w:val="00454FF6"/>
    <w:rsid w:val="0045608E"/>
    <w:rsid w:val="00456260"/>
    <w:rsid w:val="00461370"/>
    <w:rsid w:val="004633D5"/>
    <w:rsid w:val="00464729"/>
    <w:rsid w:val="00464C59"/>
    <w:rsid w:val="00470F32"/>
    <w:rsid w:val="00471475"/>
    <w:rsid w:val="00474874"/>
    <w:rsid w:val="004749B2"/>
    <w:rsid w:val="00474E92"/>
    <w:rsid w:val="00477F1B"/>
    <w:rsid w:val="004853FA"/>
    <w:rsid w:val="00486000"/>
    <w:rsid w:val="00487885"/>
    <w:rsid w:val="004913BD"/>
    <w:rsid w:val="0049158A"/>
    <w:rsid w:val="00492A0C"/>
    <w:rsid w:val="00492B9E"/>
    <w:rsid w:val="004935C1"/>
    <w:rsid w:val="00497ED2"/>
    <w:rsid w:val="004A1FB6"/>
    <w:rsid w:val="004A3210"/>
    <w:rsid w:val="004B20B6"/>
    <w:rsid w:val="004B2C76"/>
    <w:rsid w:val="004B4DEE"/>
    <w:rsid w:val="004B7398"/>
    <w:rsid w:val="004C004A"/>
    <w:rsid w:val="004C1897"/>
    <w:rsid w:val="004C371C"/>
    <w:rsid w:val="004C5175"/>
    <w:rsid w:val="004C5CC0"/>
    <w:rsid w:val="004D2876"/>
    <w:rsid w:val="004D2BA4"/>
    <w:rsid w:val="004D2EF5"/>
    <w:rsid w:val="004E4323"/>
    <w:rsid w:val="004E5424"/>
    <w:rsid w:val="004E71E3"/>
    <w:rsid w:val="004F3A79"/>
    <w:rsid w:val="004F4031"/>
    <w:rsid w:val="004F5447"/>
    <w:rsid w:val="004F602D"/>
    <w:rsid w:val="00505263"/>
    <w:rsid w:val="00506592"/>
    <w:rsid w:val="0050713B"/>
    <w:rsid w:val="00517249"/>
    <w:rsid w:val="00517258"/>
    <w:rsid w:val="00517561"/>
    <w:rsid w:val="00524763"/>
    <w:rsid w:val="00526933"/>
    <w:rsid w:val="0053057E"/>
    <w:rsid w:val="00533390"/>
    <w:rsid w:val="00533ECC"/>
    <w:rsid w:val="00540858"/>
    <w:rsid w:val="00541895"/>
    <w:rsid w:val="005423B1"/>
    <w:rsid w:val="00545427"/>
    <w:rsid w:val="00551551"/>
    <w:rsid w:val="00553FC0"/>
    <w:rsid w:val="0055538F"/>
    <w:rsid w:val="005570A9"/>
    <w:rsid w:val="00561154"/>
    <w:rsid w:val="005628D8"/>
    <w:rsid w:val="00564206"/>
    <w:rsid w:val="00571212"/>
    <w:rsid w:val="00571FFE"/>
    <w:rsid w:val="00572B8A"/>
    <w:rsid w:val="005737D6"/>
    <w:rsid w:val="00577531"/>
    <w:rsid w:val="0058289F"/>
    <w:rsid w:val="00582CCC"/>
    <w:rsid w:val="00583364"/>
    <w:rsid w:val="005908BF"/>
    <w:rsid w:val="005915DC"/>
    <w:rsid w:val="0059677A"/>
    <w:rsid w:val="00596E3A"/>
    <w:rsid w:val="005977BA"/>
    <w:rsid w:val="005A118B"/>
    <w:rsid w:val="005A76A1"/>
    <w:rsid w:val="005A7CC7"/>
    <w:rsid w:val="005B0197"/>
    <w:rsid w:val="005B045A"/>
    <w:rsid w:val="005B15FA"/>
    <w:rsid w:val="005B283F"/>
    <w:rsid w:val="005B3BA3"/>
    <w:rsid w:val="005B4A6B"/>
    <w:rsid w:val="005C0B3E"/>
    <w:rsid w:val="005C17D2"/>
    <w:rsid w:val="005C7E2B"/>
    <w:rsid w:val="005D2576"/>
    <w:rsid w:val="005E0717"/>
    <w:rsid w:val="005E0D4B"/>
    <w:rsid w:val="005E4A8B"/>
    <w:rsid w:val="005E58A3"/>
    <w:rsid w:val="005E66DD"/>
    <w:rsid w:val="005F261A"/>
    <w:rsid w:val="00602822"/>
    <w:rsid w:val="00604679"/>
    <w:rsid w:val="006068F4"/>
    <w:rsid w:val="00606E63"/>
    <w:rsid w:val="00607BA5"/>
    <w:rsid w:val="006102E9"/>
    <w:rsid w:val="0061222B"/>
    <w:rsid w:val="00620350"/>
    <w:rsid w:val="00621E8F"/>
    <w:rsid w:val="00621F27"/>
    <w:rsid w:val="006233D5"/>
    <w:rsid w:val="00623FD0"/>
    <w:rsid w:val="00624719"/>
    <w:rsid w:val="00626FB9"/>
    <w:rsid w:val="0062742F"/>
    <w:rsid w:val="00636661"/>
    <w:rsid w:val="006425D4"/>
    <w:rsid w:val="0065040E"/>
    <w:rsid w:val="006536CF"/>
    <w:rsid w:val="006550A8"/>
    <w:rsid w:val="006604BA"/>
    <w:rsid w:val="0066156F"/>
    <w:rsid w:val="00663291"/>
    <w:rsid w:val="00663469"/>
    <w:rsid w:val="006634F6"/>
    <w:rsid w:val="00664F32"/>
    <w:rsid w:val="00665AA9"/>
    <w:rsid w:val="00670B8F"/>
    <w:rsid w:val="00673F21"/>
    <w:rsid w:val="006750C1"/>
    <w:rsid w:val="00676C80"/>
    <w:rsid w:val="0068156D"/>
    <w:rsid w:val="00682BDB"/>
    <w:rsid w:val="00684613"/>
    <w:rsid w:val="00685DE8"/>
    <w:rsid w:val="00686014"/>
    <w:rsid w:val="00687213"/>
    <w:rsid w:val="00692382"/>
    <w:rsid w:val="00693546"/>
    <w:rsid w:val="00693E0B"/>
    <w:rsid w:val="00694ABE"/>
    <w:rsid w:val="006950D2"/>
    <w:rsid w:val="006A040D"/>
    <w:rsid w:val="006A0DCE"/>
    <w:rsid w:val="006A127E"/>
    <w:rsid w:val="006A6B25"/>
    <w:rsid w:val="006B0FD8"/>
    <w:rsid w:val="006B1031"/>
    <w:rsid w:val="006B2199"/>
    <w:rsid w:val="006B25A5"/>
    <w:rsid w:val="006B2DAE"/>
    <w:rsid w:val="006B79EF"/>
    <w:rsid w:val="006B7C0E"/>
    <w:rsid w:val="006C2E02"/>
    <w:rsid w:val="006D0441"/>
    <w:rsid w:val="006D197C"/>
    <w:rsid w:val="006D5D68"/>
    <w:rsid w:val="006D6C02"/>
    <w:rsid w:val="006E1681"/>
    <w:rsid w:val="006E4599"/>
    <w:rsid w:val="006E6FA8"/>
    <w:rsid w:val="006F05BE"/>
    <w:rsid w:val="006F0821"/>
    <w:rsid w:val="006F3A9F"/>
    <w:rsid w:val="006F5674"/>
    <w:rsid w:val="007006DB"/>
    <w:rsid w:val="00700E45"/>
    <w:rsid w:val="00702656"/>
    <w:rsid w:val="00703245"/>
    <w:rsid w:val="007061A2"/>
    <w:rsid w:val="007061CF"/>
    <w:rsid w:val="00707068"/>
    <w:rsid w:val="0071265B"/>
    <w:rsid w:val="00713E0F"/>
    <w:rsid w:val="007224F2"/>
    <w:rsid w:val="00723091"/>
    <w:rsid w:val="007268DC"/>
    <w:rsid w:val="00727E3B"/>
    <w:rsid w:val="00735D6C"/>
    <w:rsid w:val="00737826"/>
    <w:rsid w:val="00737E44"/>
    <w:rsid w:val="007401E9"/>
    <w:rsid w:val="00741C69"/>
    <w:rsid w:val="007425F8"/>
    <w:rsid w:val="00742E2D"/>
    <w:rsid w:val="00743A9F"/>
    <w:rsid w:val="0074401C"/>
    <w:rsid w:val="00746353"/>
    <w:rsid w:val="0075073B"/>
    <w:rsid w:val="00750D8E"/>
    <w:rsid w:val="0075320F"/>
    <w:rsid w:val="00753C1F"/>
    <w:rsid w:val="00753D27"/>
    <w:rsid w:val="00754A5D"/>
    <w:rsid w:val="00754B8F"/>
    <w:rsid w:val="00755D35"/>
    <w:rsid w:val="00761AE3"/>
    <w:rsid w:val="00766C11"/>
    <w:rsid w:val="007743DE"/>
    <w:rsid w:val="007745ED"/>
    <w:rsid w:val="00774991"/>
    <w:rsid w:val="007751E5"/>
    <w:rsid w:val="00781250"/>
    <w:rsid w:val="00781855"/>
    <w:rsid w:val="00784C93"/>
    <w:rsid w:val="00790FAA"/>
    <w:rsid w:val="007A2AB9"/>
    <w:rsid w:val="007A4F12"/>
    <w:rsid w:val="007A553E"/>
    <w:rsid w:val="007A61DC"/>
    <w:rsid w:val="007A6F49"/>
    <w:rsid w:val="007A75F2"/>
    <w:rsid w:val="007B20D3"/>
    <w:rsid w:val="007B6063"/>
    <w:rsid w:val="007C173F"/>
    <w:rsid w:val="007C57E1"/>
    <w:rsid w:val="007C63C8"/>
    <w:rsid w:val="007D3228"/>
    <w:rsid w:val="007D3DFE"/>
    <w:rsid w:val="007D43A7"/>
    <w:rsid w:val="007D70F6"/>
    <w:rsid w:val="007E2B61"/>
    <w:rsid w:val="007E2DAE"/>
    <w:rsid w:val="007E67D2"/>
    <w:rsid w:val="007F13FF"/>
    <w:rsid w:val="007F493B"/>
    <w:rsid w:val="007F756F"/>
    <w:rsid w:val="007F7B92"/>
    <w:rsid w:val="00802BD6"/>
    <w:rsid w:val="00805BB0"/>
    <w:rsid w:val="0081212B"/>
    <w:rsid w:val="008150BE"/>
    <w:rsid w:val="008201AE"/>
    <w:rsid w:val="008238F8"/>
    <w:rsid w:val="00824671"/>
    <w:rsid w:val="008254A2"/>
    <w:rsid w:val="00825BD1"/>
    <w:rsid w:val="008278AB"/>
    <w:rsid w:val="00833614"/>
    <w:rsid w:val="00834DDD"/>
    <w:rsid w:val="00836CBA"/>
    <w:rsid w:val="0084196C"/>
    <w:rsid w:val="00841E72"/>
    <w:rsid w:val="008445DB"/>
    <w:rsid w:val="00845C41"/>
    <w:rsid w:val="008478D2"/>
    <w:rsid w:val="00850DAF"/>
    <w:rsid w:val="00852F66"/>
    <w:rsid w:val="008560AE"/>
    <w:rsid w:val="00856AB4"/>
    <w:rsid w:val="00857ADA"/>
    <w:rsid w:val="00860302"/>
    <w:rsid w:val="008603FA"/>
    <w:rsid w:val="00863F4B"/>
    <w:rsid w:val="00866403"/>
    <w:rsid w:val="00872BA8"/>
    <w:rsid w:val="008744F5"/>
    <w:rsid w:val="00881410"/>
    <w:rsid w:val="00881CD9"/>
    <w:rsid w:val="008824D0"/>
    <w:rsid w:val="00883F36"/>
    <w:rsid w:val="0088569D"/>
    <w:rsid w:val="00886FA7"/>
    <w:rsid w:val="00890C1A"/>
    <w:rsid w:val="00891411"/>
    <w:rsid w:val="00893516"/>
    <w:rsid w:val="008941F8"/>
    <w:rsid w:val="00895491"/>
    <w:rsid w:val="008957A9"/>
    <w:rsid w:val="00895892"/>
    <w:rsid w:val="008A3664"/>
    <w:rsid w:val="008A6C6B"/>
    <w:rsid w:val="008B0F69"/>
    <w:rsid w:val="008B4EF0"/>
    <w:rsid w:val="008C2AED"/>
    <w:rsid w:val="008C2E29"/>
    <w:rsid w:val="008C61DE"/>
    <w:rsid w:val="008C6322"/>
    <w:rsid w:val="008D1050"/>
    <w:rsid w:val="008D20F1"/>
    <w:rsid w:val="008D4AB5"/>
    <w:rsid w:val="008D4DA8"/>
    <w:rsid w:val="008D60FA"/>
    <w:rsid w:val="008E11A0"/>
    <w:rsid w:val="008E19CF"/>
    <w:rsid w:val="008E714C"/>
    <w:rsid w:val="008F1C1F"/>
    <w:rsid w:val="008F4712"/>
    <w:rsid w:val="008F5599"/>
    <w:rsid w:val="008F744E"/>
    <w:rsid w:val="008F75E3"/>
    <w:rsid w:val="00902E8C"/>
    <w:rsid w:val="009152A7"/>
    <w:rsid w:val="009172DF"/>
    <w:rsid w:val="00917DCF"/>
    <w:rsid w:val="00927558"/>
    <w:rsid w:val="00934303"/>
    <w:rsid w:val="009354F1"/>
    <w:rsid w:val="00937283"/>
    <w:rsid w:val="00940BEB"/>
    <w:rsid w:val="00944AE9"/>
    <w:rsid w:val="009468CD"/>
    <w:rsid w:val="009503C4"/>
    <w:rsid w:val="00952B7F"/>
    <w:rsid w:val="009555C4"/>
    <w:rsid w:val="00957D29"/>
    <w:rsid w:val="00964301"/>
    <w:rsid w:val="00964BFE"/>
    <w:rsid w:val="00970F45"/>
    <w:rsid w:val="00972A55"/>
    <w:rsid w:val="00972B0B"/>
    <w:rsid w:val="00975048"/>
    <w:rsid w:val="00975F01"/>
    <w:rsid w:val="00981D99"/>
    <w:rsid w:val="00984279"/>
    <w:rsid w:val="0099003F"/>
    <w:rsid w:val="00995808"/>
    <w:rsid w:val="00996AF5"/>
    <w:rsid w:val="00997FC2"/>
    <w:rsid w:val="009A0453"/>
    <w:rsid w:val="009A387E"/>
    <w:rsid w:val="009A676C"/>
    <w:rsid w:val="009A6EC1"/>
    <w:rsid w:val="009B00DF"/>
    <w:rsid w:val="009B0664"/>
    <w:rsid w:val="009B070D"/>
    <w:rsid w:val="009B20BB"/>
    <w:rsid w:val="009B2469"/>
    <w:rsid w:val="009B6F2B"/>
    <w:rsid w:val="009C0C22"/>
    <w:rsid w:val="009C18BC"/>
    <w:rsid w:val="009C2F60"/>
    <w:rsid w:val="009C38A3"/>
    <w:rsid w:val="009C5046"/>
    <w:rsid w:val="009C55E4"/>
    <w:rsid w:val="009C5F21"/>
    <w:rsid w:val="009C68FF"/>
    <w:rsid w:val="009C7E7B"/>
    <w:rsid w:val="009D0744"/>
    <w:rsid w:val="009D0804"/>
    <w:rsid w:val="009D1047"/>
    <w:rsid w:val="009D228C"/>
    <w:rsid w:val="009D5B41"/>
    <w:rsid w:val="009E20E3"/>
    <w:rsid w:val="009E6F0A"/>
    <w:rsid w:val="009F09BD"/>
    <w:rsid w:val="009F1422"/>
    <w:rsid w:val="009F16AE"/>
    <w:rsid w:val="009F3764"/>
    <w:rsid w:val="009F3B0B"/>
    <w:rsid w:val="009F55FA"/>
    <w:rsid w:val="009F5935"/>
    <w:rsid w:val="00A00B8C"/>
    <w:rsid w:val="00A041BC"/>
    <w:rsid w:val="00A04D20"/>
    <w:rsid w:val="00A10262"/>
    <w:rsid w:val="00A105DF"/>
    <w:rsid w:val="00A116C4"/>
    <w:rsid w:val="00A140B2"/>
    <w:rsid w:val="00A14828"/>
    <w:rsid w:val="00A154E5"/>
    <w:rsid w:val="00A16036"/>
    <w:rsid w:val="00A1689B"/>
    <w:rsid w:val="00A21029"/>
    <w:rsid w:val="00A21FF5"/>
    <w:rsid w:val="00A22157"/>
    <w:rsid w:val="00A23AED"/>
    <w:rsid w:val="00A2680B"/>
    <w:rsid w:val="00A3315D"/>
    <w:rsid w:val="00A33304"/>
    <w:rsid w:val="00A34A3F"/>
    <w:rsid w:val="00A36DD6"/>
    <w:rsid w:val="00A41822"/>
    <w:rsid w:val="00A45E7F"/>
    <w:rsid w:val="00A47039"/>
    <w:rsid w:val="00A4704D"/>
    <w:rsid w:val="00A517BA"/>
    <w:rsid w:val="00A52A56"/>
    <w:rsid w:val="00A56E81"/>
    <w:rsid w:val="00A62FAA"/>
    <w:rsid w:val="00A64786"/>
    <w:rsid w:val="00A64E14"/>
    <w:rsid w:val="00A655A5"/>
    <w:rsid w:val="00A67895"/>
    <w:rsid w:val="00A67E73"/>
    <w:rsid w:val="00A73344"/>
    <w:rsid w:val="00A735E9"/>
    <w:rsid w:val="00A74793"/>
    <w:rsid w:val="00A75090"/>
    <w:rsid w:val="00A75264"/>
    <w:rsid w:val="00A76E8A"/>
    <w:rsid w:val="00A7722E"/>
    <w:rsid w:val="00A85C43"/>
    <w:rsid w:val="00A85FF1"/>
    <w:rsid w:val="00A87FD4"/>
    <w:rsid w:val="00A900D7"/>
    <w:rsid w:val="00A91492"/>
    <w:rsid w:val="00A925DA"/>
    <w:rsid w:val="00A93A7D"/>
    <w:rsid w:val="00A95E58"/>
    <w:rsid w:val="00AA415E"/>
    <w:rsid w:val="00AA6F2E"/>
    <w:rsid w:val="00AB171C"/>
    <w:rsid w:val="00AB3703"/>
    <w:rsid w:val="00AB6C61"/>
    <w:rsid w:val="00AC2FB7"/>
    <w:rsid w:val="00AC53C5"/>
    <w:rsid w:val="00AC60A0"/>
    <w:rsid w:val="00AC7EAC"/>
    <w:rsid w:val="00AD0187"/>
    <w:rsid w:val="00AD4F02"/>
    <w:rsid w:val="00AD56BF"/>
    <w:rsid w:val="00AD7436"/>
    <w:rsid w:val="00AE0943"/>
    <w:rsid w:val="00AE105C"/>
    <w:rsid w:val="00AE181C"/>
    <w:rsid w:val="00AE2A7B"/>
    <w:rsid w:val="00AE3AE1"/>
    <w:rsid w:val="00AE5F0F"/>
    <w:rsid w:val="00AE63CF"/>
    <w:rsid w:val="00AE68E5"/>
    <w:rsid w:val="00AF0579"/>
    <w:rsid w:val="00AF474A"/>
    <w:rsid w:val="00AF5B62"/>
    <w:rsid w:val="00AF786A"/>
    <w:rsid w:val="00B00BA5"/>
    <w:rsid w:val="00B026AE"/>
    <w:rsid w:val="00B028DF"/>
    <w:rsid w:val="00B031B6"/>
    <w:rsid w:val="00B03905"/>
    <w:rsid w:val="00B0587A"/>
    <w:rsid w:val="00B06270"/>
    <w:rsid w:val="00B07533"/>
    <w:rsid w:val="00B116E0"/>
    <w:rsid w:val="00B155FD"/>
    <w:rsid w:val="00B16B84"/>
    <w:rsid w:val="00B216AA"/>
    <w:rsid w:val="00B264B4"/>
    <w:rsid w:val="00B271E8"/>
    <w:rsid w:val="00B30CBA"/>
    <w:rsid w:val="00B30E01"/>
    <w:rsid w:val="00B34BF6"/>
    <w:rsid w:val="00B34D41"/>
    <w:rsid w:val="00B35CE9"/>
    <w:rsid w:val="00B36647"/>
    <w:rsid w:val="00B36ACA"/>
    <w:rsid w:val="00B42608"/>
    <w:rsid w:val="00B433A4"/>
    <w:rsid w:val="00B4357E"/>
    <w:rsid w:val="00B43DC8"/>
    <w:rsid w:val="00B43E86"/>
    <w:rsid w:val="00B518EE"/>
    <w:rsid w:val="00B6607C"/>
    <w:rsid w:val="00B673DF"/>
    <w:rsid w:val="00B67E82"/>
    <w:rsid w:val="00B70720"/>
    <w:rsid w:val="00B71F99"/>
    <w:rsid w:val="00B730C4"/>
    <w:rsid w:val="00B758CB"/>
    <w:rsid w:val="00B76A37"/>
    <w:rsid w:val="00B836B0"/>
    <w:rsid w:val="00B873C8"/>
    <w:rsid w:val="00B87595"/>
    <w:rsid w:val="00B87A1D"/>
    <w:rsid w:val="00B97DA4"/>
    <w:rsid w:val="00BA1E5A"/>
    <w:rsid w:val="00BA66CF"/>
    <w:rsid w:val="00BA72C8"/>
    <w:rsid w:val="00BB1CB9"/>
    <w:rsid w:val="00BB383C"/>
    <w:rsid w:val="00BB460A"/>
    <w:rsid w:val="00BB68A8"/>
    <w:rsid w:val="00BB7856"/>
    <w:rsid w:val="00BC14E8"/>
    <w:rsid w:val="00BC2928"/>
    <w:rsid w:val="00BC3333"/>
    <w:rsid w:val="00BC4A99"/>
    <w:rsid w:val="00BC7E84"/>
    <w:rsid w:val="00BD405C"/>
    <w:rsid w:val="00BD410D"/>
    <w:rsid w:val="00BD508F"/>
    <w:rsid w:val="00BD61C2"/>
    <w:rsid w:val="00BE380D"/>
    <w:rsid w:val="00BE5EDA"/>
    <w:rsid w:val="00BE5FF2"/>
    <w:rsid w:val="00BF2EC4"/>
    <w:rsid w:val="00BF4AC7"/>
    <w:rsid w:val="00BF4FA7"/>
    <w:rsid w:val="00C02DFC"/>
    <w:rsid w:val="00C03AC2"/>
    <w:rsid w:val="00C06A57"/>
    <w:rsid w:val="00C06BCD"/>
    <w:rsid w:val="00C10D56"/>
    <w:rsid w:val="00C12463"/>
    <w:rsid w:val="00C127D6"/>
    <w:rsid w:val="00C12F75"/>
    <w:rsid w:val="00C134AF"/>
    <w:rsid w:val="00C13A5E"/>
    <w:rsid w:val="00C13BEB"/>
    <w:rsid w:val="00C14C6D"/>
    <w:rsid w:val="00C15774"/>
    <w:rsid w:val="00C17F34"/>
    <w:rsid w:val="00C213D6"/>
    <w:rsid w:val="00C220B3"/>
    <w:rsid w:val="00C235BA"/>
    <w:rsid w:val="00C246FD"/>
    <w:rsid w:val="00C24897"/>
    <w:rsid w:val="00C262C8"/>
    <w:rsid w:val="00C30E9B"/>
    <w:rsid w:val="00C4458D"/>
    <w:rsid w:val="00C445E4"/>
    <w:rsid w:val="00C5096E"/>
    <w:rsid w:val="00C53D83"/>
    <w:rsid w:val="00C652E7"/>
    <w:rsid w:val="00C667B3"/>
    <w:rsid w:val="00C670F8"/>
    <w:rsid w:val="00C67BD6"/>
    <w:rsid w:val="00C712AD"/>
    <w:rsid w:val="00C73EEF"/>
    <w:rsid w:val="00C747F5"/>
    <w:rsid w:val="00C76897"/>
    <w:rsid w:val="00C77FA2"/>
    <w:rsid w:val="00C8414F"/>
    <w:rsid w:val="00C87749"/>
    <w:rsid w:val="00C92259"/>
    <w:rsid w:val="00C929C5"/>
    <w:rsid w:val="00C93F2D"/>
    <w:rsid w:val="00CA2E3E"/>
    <w:rsid w:val="00CA4685"/>
    <w:rsid w:val="00CA64BB"/>
    <w:rsid w:val="00CB12D6"/>
    <w:rsid w:val="00CB238A"/>
    <w:rsid w:val="00CB64C7"/>
    <w:rsid w:val="00CB6662"/>
    <w:rsid w:val="00CC148B"/>
    <w:rsid w:val="00CC29B2"/>
    <w:rsid w:val="00CC3C69"/>
    <w:rsid w:val="00CC53FA"/>
    <w:rsid w:val="00CC5A01"/>
    <w:rsid w:val="00CC5B5D"/>
    <w:rsid w:val="00CC6475"/>
    <w:rsid w:val="00CC6699"/>
    <w:rsid w:val="00CC7A24"/>
    <w:rsid w:val="00CD08C8"/>
    <w:rsid w:val="00CD11B7"/>
    <w:rsid w:val="00CD27A7"/>
    <w:rsid w:val="00CD4883"/>
    <w:rsid w:val="00CD7563"/>
    <w:rsid w:val="00CD7F67"/>
    <w:rsid w:val="00CF1386"/>
    <w:rsid w:val="00CF1861"/>
    <w:rsid w:val="00CF2838"/>
    <w:rsid w:val="00CF3B2B"/>
    <w:rsid w:val="00CF3F53"/>
    <w:rsid w:val="00CF58A8"/>
    <w:rsid w:val="00CF6B32"/>
    <w:rsid w:val="00CF72D2"/>
    <w:rsid w:val="00D00344"/>
    <w:rsid w:val="00D0118A"/>
    <w:rsid w:val="00D02EC9"/>
    <w:rsid w:val="00D036F4"/>
    <w:rsid w:val="00D0581F"/>
    <w:rsid w:val="00D05C65"/>
    <w:rsid w:val="00D07306"/>
    <w:rsid w:val="00D07A3D"/>
    <w:rsid w:val="00D10321"/>
    <w:rsid w:val="00D1058C"/>
    <w:rsid w:val="00D10C1C"/>
    <w:rsid w:val="00D120FE"/>
    <w:rsid w:val="00D1256E"/>
    <w:rsid w:val="00D1498C"/>
    <w:rsid w:val="00D14D67"/>
    <w:rsid w:val="00D1582B"/>
    <w:rsid w:val="00D161A6"/>
    <w:rsid w:val="00D161F1"/>
    <w:rsid w:val="00D16BCD"/>
    <w:rsid w:val="00D2227E"/>
    <w:rsid w:val="00D228AF"/>
    <w:rsid w:val="00D23737"/>
    <w:rsid w:val="00D37060"/>
    <w:rsid w:val="00D4052D"/>
    <w:rsid w:val="00D41A70"/>
    <w:rsid w:val="00D441C3"/>
    <w:rsid w:val="00D4599A"/>
    <w:rsid w:val="00D4798B"/>
    <w:rsid w:val="00D52EA0"/>
    <w:rsid w:val="00D5426E"/>
    <w:rsid w:val="00D55176"/>
    <w:rsid w:val="00D566C2"/>
    <w:rsid w:val="00D6093B"/>
    <w:rsid w:val="00D60D5F"/>
    <w:rsid w:val="00D620EB"/>
    <w:rsid w:val="00D64539"/>
    <w:rsid w:val="00D64EFB"/>
    <w:rsid w:val="00D65916"/>
    <w:rsid w:val="00D65B8D"/>
    <w:rsid w:val="00D70136"/>
    <w:rsid w:val="00D71FC5"/>
    <w:rsid w:val="00D7384C"/>
    <w:rsid w:val="00D742D8"/>
    <w:rsid w:val="00D74393"/>
    <w:rsid w:val="00D747CE"/>
    <w:rsid w:val="00D74BBC"/>
    <w:rsid w:val="00D76849"/>
    <w:rsid w:val="00D80DBB"/>
    <w:rsid w:val="00D84EE2"/>
    <w:rsid w:val="00D850C1"/>
    <w:rsid w:val="00D86B9F"/>
    <w:rsid w:val="00D911F6"/>
    <w:rsid w:val="00D9337A"/>
    <w:rsid w:val="00D93E50"/>
    <w:rsid w:val="00DA6DC8"/>
    <w:rsid w:val="00DA7D41"/>
    <w:rsid w:val="00DB5CC0"/>
    <w:rsid w:val="00DB7D1C"/>
    <w:rsid w:val="00DC09B0"/>
    <w:rsid w:val="00DC1FE7"/>
    <w:rsid w:val="00DC6380"/>
    <w:rsid w:val="00DC7889"/>
    <w:rsid w:val="00DD0B63"/>
    <w:rsid w:val="00DD22E0"/>
    <w:rsid w:val="00DD3299"/>
    <w:rsid w:val="00DD368D"/>
    <w:rsid w:val="00DD6375"/>
    <w:rsid w:val="00DD6CFA"/>
    <w:rsid w:val="00DD6CFB"/>
    <w:rsid w:val="00DD7D71"/>
    <w:rsid w:val="00DE0485"/>
    <w:rsid w:val="00DE0EA8"/>
    <w:rsid w:val="00DE143F"/>
    <w:rsid w:val="00DE1738"/>
    <w:rsid w:val="00DE19C8"/>
    <w:rsid w:val="00DE3C31"/>
    <w:rsid w:val="00DE4285"/>
    <w:rsid w:val="00DE4308"/>
    <w:rsid w:val="00DE59B9"/>
    <w:rsid w:val="00DE5C37"/>
    <w:rsid w:val="00DE762A"/>
    <w:rsid w:val="00DF34E8"/>
    <w:rsid w:val="00DF3963"/>
    <w:rsid w:val="00DF45CA"/>
    <w:rsid w:val="00DF6488"/>
    <w:rsid w:val="00DF6B8A"/>
    <w:rsid w:val="00E02206"/>
    <w:rsid w:val="00E0295D"/>
    <w:rsid w:val="00E0559E"/>
    <w:rsid w:val="00E0652E"/>
    <w:rsid w:val="00E14BE3"/>
    <w:rsid w:val="00E1745C"/>
    <w:rsid w:val="00E23D22"/>
    <w:rsid w:val="00E24254"/>
    <w:rsid w:val="00E25741"/>
    <w:rsid w:val="00E27693"/>
    <w:rsid w:val="00E27B9D"/>
    <w:rsid w:val="00E33B15"/>
    <w:rsid w:val="00E34E41"/>
    <w:rsid w:val="00E35351"/>
    <w:rsid w:val="00E40EE0"/>
    <w:rsid w:val="00E42E7D"/>
    <w:rsid w:val="00E46F56"/>
    <w:rsid w:val="00E47E2F"/>
    <w:rsid w:val="00E507A2"/>
    <w:rsid w:val="00E5348F"/>
    <w:rsid w:val="00E53F12"/>
    <w:rsid w:val="00E57145"/>
    <w:rsid w:val="00E571C1"/>
    <w:rsid w:val="00E61BF0"/>
    <w:rsid w:val="00E62ECE"/>
    <w:rsid w:val="00E63086"/>
    <w:rsid w:val="00E65001"/>
    <w:rsid w:val="00E71135"/>
    <w:rsid w:val="00E725DD"/>
    <w:rsid w:val="00E7268C"/>
    <w:rsid w:val="00E75DE1"/>
    <w:rsid w:val="00E764BB"/>
    <w:rsid w:val="00E77501"/>
    <w:rsid w:val="00E834C9"/>
    <w:rsid w:val="00E84A56"/>
    <w:rsid w:val="00E8779E"/>
    <w:rsid w:val="00E9016E"/>
    <w:rsid w:val="00E90592"/>
    <w:rsid w:val="00E9141A"/>
    <w:rsid w:val="00E959A3"/>
    <w:rsid w:val="00E96297"/>
    <w:rsid w:val="00E972A0"/>
    <w:rsid w:val="00EA052D"/>
    <w:rsid w:val="00EA43B6"/>
    <w:rsid w:val="00EA51B4"/>
    <w:rsid w:val="00EA5708"/>
    <w:rsid w:val="00EA7149"/>
    <w:rsid w:val="00EB1517"/>
    <w:rsid w:val="00EB1918"/>
    <w:rsid w:val="00EB21B7"/>
    <w:rsid w:val="00EB5DFE"/>
    <w:rsid w:val="00EC0DFD"/>
    <w:rsid w:val="00EC2885"/>
    <w:rsid w:val="00EC303F"/>
    <w:rsid w:val="00EC3E68"/>
    <w:rsid w:val="00EC41D9"/>
    <w:rsid w:val="00EC555C"/>
    <w:rsid w:val="00EC60D8"/>
    <w:rsid w:val="00EC678C"/>
    <w:rsid w:val="00EC7A0A"/>
    <w:rsid w:val="00ED1521"/>
    <w:rsid w:val="00ED251E"/>
    <w:rsid w:val="00ED3F47"/>
    <w:rsid w:val="00ED57C3"/>
    <w:rsid w:val="00ED5E94"/>
    <w:rsid w:val="00ED6407"/>
    <w:rsid w:val="00EE02DA"/>
    <w:rsid w:val="00EE05BD"/>
    <w:rsid w:val="00EE21DF"/>
    <w:rsid w:val="00EE3CCF"/>
    <w:rsid w:val="00EE4AD5"/>
    <w:rsid w:val="00EF248C"/>
    <w:rsid w:val="00EF252D"/>
    <w:rsid w:val="00EF448A"/>
    <w:rsid w:val="00EF535C"/>
    <w:rsid w:val="00EF6BE1"/>
    <w:rsid w:val="00EF767D"/>
    <w:rsid w:val="00F0019A"/>
    <w:rsid w:val="00F00856"/>
    <w:rsid w:val="00F00B7F"/>
    <w:rsid w:val="00F00DA9"/>
    <w:rsid w:val="00F015FD"/>
    <w:rsid w:val="00F01BAA"/>
    <w:rsid w:val="00F04B12"/>
    <w:rsid w:val="00F07C40"/>
    <w:rsid w:val="00F07F3B"/>
    <w:rsid w:val="00F1082B"/>
    <w:rsid w:val="00F10EAD"/>
    <w:rsid w:val="00F1196D"/>
    <w:rsid w:val="00F15D02"/>
    <w:rsid w:val="00F163A6"/>
    <w:rsid w:val="00F208C8"/>
    <w:rsid w:val="00F20A2A"/>
    <w:rsid w:val="00F24418"/>
    <w:rsid w:val="00F263FD"/>
    <w:rsid w:val="00F27825"/>
    <w:rsid w:val="00F307E7"/>
    <w:rsid w:val="00F3215F"/>
    <w:rsid w:val="00F32D60"/>
    <w:rsid w:val="00F333D2"/>
    <w:rsid w:val="00F33F5B"/>
    <w:rsid w:val="00F34082"/>
    <w:rsid w:val="00F34A41"/>
    <w:rsid w:val="00F3791F"/>
    <w:rsid w:val="00F51529"/>
    <w:rsid w:val="00F53141"/>
    <w:rsid w:val="00F5411E"/>
    <w:rsid w:val="00F5441C"/>
    <w:rsid w:val="00F54D6F"/>
    <w:rsid w:val="00F55B42"/>
    <w:rsid w:val="00F60F2C"/>
    <w:rsid w:val="00F61175"/>
    <w:rsid w:val="00F611A2"/>
    <w:rsid w:val="00F61736"/>
    <w:rsid w:val="00F64852"/>
    <w:rsid w:val="00F6724B"/>
    <w:rsid w:val="00F708E0"/>
    <w:rsid w:val="00F71C1C"/>
    <w:rsid w:val="00F72B98"/>
    <w:rsid w:val="00F8046D"/>
    <w:rsid w:val="00F83351"/>
    <w:rsid w:val="00F84E06"/>
    <w:rsid w:val="00F86602"/>
    <w:rsid w:val="00F879D8"/>
    <w:rsid w:val="00F90D0E"/>
    <w:rsid w:val="00F94435"/>
    <w:rsid w:val="00F956FA"/>
    <w:rsid w:val="00F962CE"/>
    <w:rsid w:val="00F9631E"/>
    <w:rsid w:val="00FA04BE"/>
    <w:rsid w:val="00FA2C49"/>
    <w:rsid w:val="00FA458E"/>
    <w:rsid w:val="00FA52AA"/>
    <w:rsid w:val="00FA52D5"/>
    <w:rsid w:val="00FA7018"/>
    <w:rsid w:val="00FB150C"/>
    <w:rsid w:val="00FB1EA9"/>
    <w:rsid w:val="00FB2A3A"/>
    <w:rsid w:val="00FB626C"/>
    <w:rsid w:val="00FC45ED"/>
    <w:rsid w:val="00FC4B3B"/>
    <w:rsid w:val="00FC4D15"/>
    <w:rsid w:val="00FC579E"/>
    <w:rsid w:val="00FC68F8"/>
    <w:rsid w:val="00FC7AE8"/>
    <w:rsid w:val="00FC7D0D"/>
    <w:rsid w:val="00FD10FE"/>
    <w:rsid w:val="00FE15B8"/>
    <w:rsid w:val="00FE3244"/>
    <w:rsid w:val="00FE3B05"/>
    <w:rsid w:val="00FE4384"/>
    <w:rsid w:val="00FF22D3"/>
    <w:rsid w:val="00FF4547"/>
    <w:rsid w:val="00FF6450"/>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367B7"/>
  <w15:chartTrackingRefBased/>
  <w15:docId w15:val="{2DDA2421-9198-4F3E-A114-C01FE3F9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338"/>
    <w:pPr>
      <w:spacing w:after="240" w:line="480" w:lineRule="auto"/>
    </w:pPr>
  </w:style>
  <w:style w:type="paragraph" w:styleId="Heading1">
    <w:name w:val="heading 1"/>
    <w:basedOn w:val="Normal"/>
    <w:next w:val="Normal"/>
    <w:link w:val="Heading1Char"/>
    <w:uiPriority w:val="9"/>
    <w:qFormat/>
    <w:rsid w:val="00172F79"/>
    <w:pPr>
      <w:keepNext/>
      <w:keepLines/>
      <w:numPr>
        <w:numId w:val="5"/>
      </w:numPr>
      <w:spacing w:before="240" w:line="240" w:lineRule="auto"/>
      <w:ind w:left="360"/>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9B0664"/>
    <w:pPr>
      <w:keepNext/>
      <w:keepLines/>
      <w:numPr>
        <w:numId w:val="6"/>
      </w:numPr>
      <w:spacing w:before="40" w:line="240" w:lineRule="auto"/>
      <w:outlineLvl w:val="1"/>
    </w:pPr>
    <w:rPr>
      <w:rFonts w:eastAsiaTheme="majorEastAsia" w:cstheme="majorBidi"/>
      <w:b/>
      <w:caps/>
      <w:szCs w:val="26"/>
      <w:u w:val="single"/>
    </w:rPr>
  </w:style>
  <w:style w:type="paragraph" w:styleId="Heading3">
    <w:name w:val="heading 3"/>
    <w:basedOn w:val="Normal"/>
    <w:next w:val="Normal"/>
    <w:link w:val="Heading3Char"/>
    <w:uiPriority w:val="9"/>
    <w:unhideWhenUsed/>
    <w:qFormat/>
    <w:rsid w:val="00172F79"/>
    <w:pPr>
      <w:keepNext/>
      <w:keepLines/>
      <w:numPr>
        <w:numId w:val="7"/>
      </w:numPr>
      <w:spacing w:before="40" w:line="240" w:lineRule="auto"/>
      <w:ind w:left="1800"/>
      <w:outlineLvl w:val="2"/>
    </w:pPr>
    <w:rPr>
      <w:rFonts w:eastAsiaTheme="majorEastAsia" w:cstheme="majorBidi"/>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AC53C5"/>
    <w:pPr>
      <w:tabs>
        <w:tab w:val="right" w:leader="dot" w:pos="9350"/>
      </w:tabs>
      <w:spacing w:after="120" w:line="240" w:lineRule="auto"/>
      <w:ind w:left="270" w:hanging="270"/>
    </w:pPr>
  </w:style>
  <w:style w:type="paragraph" w:styleId="Title">
    <w:name w:val="Title"/>
    <w:basedOn w:val="Normal"/>
    <w:next w:val="Normal"/>
    <w:link w:val="TitleChar"/>
    <w:uiPriority w:val="10"/>
    <w:qFormat/>
    <w:rsid w:val="00112205"/>
    <w:pPr>
      <w:spacing w:line="240" w:lineRule="auto"/>
      <w:contextualSpacing/>
      <w:jc w:val="center"/>
      <w:outlineLvl w:val="0"/>
    </w:pPr>
    <w:rPr>
      <w:rFonts w:eastAsiaTheme="majorEastAsia" w:cstheme="majorBidi"/>
      <w:b/>
      <w:caps/>
      <w:spacing w:val="-10"/>
      <w:kern w:val="28"/>
      <w:szCs w:val="56"/>
      <w:u w:val="single"/>
    </w:rPr>
  </w:style>
  <w:style w:type="character" w:customStyle="1" w:styleId="TitleChar">
    <w:name w:val="Title Char"/>
    <w:basedOn w:val="DefaultParagraphFont"/>
    <w:link w:val="Title"/>
    <w:uiPriority w:val="10"/>
    <w:rsid w:val="00112205"/>
    <w:rPr>
      <w:rFonts w:eastAsiaTheme="majorEastAsia" w:cstheme="majorBidi"/>
      <w:b/>
      <w:caps/>
      <w:spacing w:val="-10"/>
      <w:kern w:val="28"/>
      <w:szCs w:val="56"/>
      <w:u w:val="single"/>
    </w:rPr>
  </w:style>
  <w:style w:type="character" w:customStyle="1" w:styleId="Heading1Char">
    <w:name w:val="Heading 1 Char"/>
    <w:basedOn w:val="DefaultParagraphFont"/>
    <w:link w:val="Heading1"/>
    <w:uiPriority w:val="9"/>
    <w:rsid w:val="00172F79"/>
    <w:rPr>
      <w:rFonts w:eastAsiaTheme="majorEastAsia" w:cstheme="majorBidi"/>
      <w:b/>
      <w:caps/>
      <w:szCs w:val="32"/>
    </w:rPr>
  </w:style>
  <w:style w:type="paragraph" w:styleId="BodyTextIndent">
    <w:name w:val="Body Text Indent"/>
    <w:basedOn w:val="Normal"/>
    <w:link w:val="BodyTextIndentChar"/>
    <w:uiPriority w:val="99"/>
    <w:semiHidden/>
    <w:unhideWhenUsed/>
    <w:rsid w:val="00BD61C2"/>
    <w:pPr>
      <w:spacing w:after="120"/>
      <w:ind w:left="360"/>
    </w:pPr>
  </w:style>
  <w:style w:type="character" w:customStyle="1" w:styleId="BodyTextIndentChar">
    <w:name w:val="Body Text Indent Char"/>
    <w:basedOn w:val="DefaultParagraphFont"/>
    <w:link w:val="BodyTextIndent"/>
    <w:uiPriority w:val="99"/>
    <w:semiHidden/>
    <w:rsid w:val="00BD61C2"/>
  </w:style>
  <w:style w:type="paragraph" w:styleId="BodyTextFirstIndent2">
    <w:name w:val="Body Text First Indent 2"/>
    <w:basedOn w:val="Normal"/>
    <w:link w:val="BodyTextFirstIndent2Char"/>
    <w:uiPriority w:val="99"/>
    <w:unhideWhenUsed/>
    <w:rsid w:val="00BD61C2"/>
    <w:pPr>
      <w:ind w:firstLine="720"/>
    </w:pPr>
    <w:rPr>
      <w:rFonts w:cstheme="minorBidi"/>
      <w:szCs w:val="22"/>
    </w:rPr>
  </w:style>
  <w:style w:type="character" w:customStyle="1" w:styleId="BodyTextFirstIndent2Char">
    <w:name w:val="Body Text First Indent 2 Char"/>
    <w:basedOn w:val="BodyTextIndentChar"/>
    <w:link w:val="BodyTextFirstIndent2"/>
    <w:uiPriority w:val="99"/>
    <w:rsid w:val="00BD61C2"/>
    <w:rPr>
      <w:rFonts w:cstheme="minorBidi"/>
      <w:szCs w:val="22"/>
    </w:rPr>
  </w:style>
  <w:style w:type="character" w:customStyle="1" w:styleId="Heading2Char">
    <w:name w:val="Heading 2 Char"/>
    <w:basedOn w:val="DefaultParagraphFont"/>
    <w:link w:val="Heading2"/>
    <w:uiPriority w:val="9"/>
    <w:rsid w:val="009B0664"/>
    <w:rPr>
      <w:rFonts w:eastAsiaTheme="majorEastAsia" w:cstheme="majorBidi"/>
      <w:b/>
      <w:caps/>
      <w:szCs w:val="26"/>
      <w:u w:val="single"/>
    </w:rPr>
  </w:style>
  <w:style w:type="paragraph" w:styleId="FootnoteText">
    <w:name w:val="footnote text"/>
    <w:basedOn w:val="Normal"/>
    <w:link w:val="FootnoteTextChar"/>
    <w:uiPriority w:val="99"/>
    <w:unhideWhenUsed/>
    <w:rsid w:val="00CD08C8"/>
    <w:pPr>
      <w:spacing w:after="0" w:line="240" w:lineRule="auto"/>
    </w:pPr>
    <w:rPr>
      <w:sz w:val="20"/>
      <w:szCs w:val="20"/>
    </w:rPr>
  </w:style>
  <w:style w:type="character" w:customStyle="1" w:styleId="FootnoteTextChar">
    <w:name w:val="Footnote Text Char"/>
    <w:basedOn w:val="DefaultParagraphFont"/>
    <w:link w:val="FootnoteText"/>
    <w:uiPriority w:val="99"/>
    <w:rsid w:val="00CD08C8"/>
    <w:rPr>
      <w:sz w:val="20"/>
      <w:szCs w:val="20"/>
    </w:rPr>
  </w:style>
  <w:style w:type="character" w:styleId="FootnoteReference">
    <w:name w:val="footnote reference"/>
    <w:basedOn w:val="DefaultParagraphFont"/>
    <w:uiPriority w:val="99"/>
    <w:semiHidden/>
    <w:unhideWhenUsed/>
    <w:rsid w:val="00CD08C8"/>
    <w:rPr>
      <w:vertAlign w:val="superscript"/>
    </w:rPr>
  </w:style>
  <w:style w:type="character" w:customStyle="1" w:styleId="Heading3Char">
    <w:name w:val="Heading 3 Char"/>
    <w:basedOn w:val="DefaultParagraphFont"/>
    <w:link w:val="Heading3"/>
    <w:uiPriority w:val="9"/>
    <w:rsid w:val="00172F79"/>
    <w:rPr>
      <w:rFonts w:eastAsiaTheme="majorEastAsia" w:cstheme="majorBidi"/>
      <w:b/>
      <w:u w:val="single"/>
    </w:rPr>
  </w:style>
  <w:style w:type="character" w:styleId="Emphasis">
    <w:name w:val="Emphasis"/>
    <w:basedOn w:val="DefaultParagraphFont"/>
    <w:uiPriority w:val="20"/>
    <w:qFormat/>
    <w:rsid w:val="00596E3A"/>
    <w:rPr>
      <w:i/>
      <w:iCs/>
    </w:rPr>
  </w:style>
  <w:style w:type="character" w:styleId="Hyperlink">
    <w:name w:val="Hyperlink"/>
    <w:basedOn w:val="DefaultParagraphFont"/>
    <w:uiPriority w:val="99"/>
    <w:unhideWhenUsed/>
    <w:rsid w:val="00596E3A"/>
    <w:rPr>
      <w:color w:val="0000FF"/>
      <w:u w:val="single"/>
    </w:rPr>
  </w:style>
  <w:style w:type="paragraph" w:styleId="ListParagraph">
    <w:name w:val="List Paragraph"/>
    <w:basedOn w:val="Normal"/>
    <w:uiPriority w:val="34"/>
    <w:qFormat/>
    <w:rsid w:val="007C63C8"/>
    <w:pPr>
      <w:ind w:left="720"/>
      <w:contextualSpacing/>
    </w:pPr>
  </w:style>
  <w:style w:type="paragraph" w:styleId="Header">
    <w:name w:val="header"/>
    <w:basedOn w:val="Normal"/>
    <w:link w:val="HeaderChar"/>
    <w:uiPriority w:val="99"/>
    <w:unhideWhenUsed/>
    <w:rsid w:val="005B04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45A"/>
  </w:style>
  <w:style w:type="paragraph" w:styleId="Footer">
    <w:name w:val="footer"/>
    <w:basedOn w:val="Normal"/>
    <w:link w:val="FooterChar"/>
    <w:uiPriority w:val="99"/>
    <w:unhideWhenUsed/>
    <w:rsid w:val="005B0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45A"/>
  </w:style>
  <w:style w:type="character" w:styleId="UnresolvedMention">
    <w:name w:val="Unresolved Mention"/>
    <w:basedOn w:val="DefaultParagraphFont"/>
    <w:uiPriority w:val="99"/>
    <w:semiHidden/>
    <w:unhideWhenUsed/>
    <w:rsid w:val="007751E5"/>
    <w:rPr>
      <w:color w:val="605E5C"/>
      <w:shd w:val="clear" w:color="auto" w:fill="E1DFDD"/>
    </w:rPr>
  </w:style>
  <w:style w:type="paragraph" w:styleId="Quote">
    <w:name w:val="Quote"/>
    <w:basedOn w:val="Normal"/>
    <w:next w:val="Normal"/>
    <w:link w:val="QuoteChar"/>
    <w:uiPriority w:val="29"/>
    <w:qFormat/>
    <w:rsid w:val="0071265B"/>
    <w:pPr>
      <w:spacing w:before="200" w:line="240" w:lineRule="auto"/>
      <w:ind w:left="864" w:right="864"/>
    </w:pPr>
    <w:rPr>
      <w:iCs/>
    </w:rPr>
  </w:style>
  <w:style w:type="character" w:customStyle="1" w:styleId="QuoteChar">
    <w:name w:val="Quote Char"/>
    <w:basedOn w:val="DefaultParagraphFont"/>
    <w:link w:val="Quote"/>
    <w:uiPriority w:val="29"/>
    <w:rsid w:val="0071265B"/>
    <w:rPr>
      <w:iCs/>
    </w:rPr>
  </w:style>
  <w:style w:type="table" w:styleId="TableGrid">
    <w:name w:val="Table Grid"/>
    <w:basedOn w:val="TableNormal"/>
    <w:uiPriority w:val="39"/>
    <w:rsid w:val="00FC7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C7AE8"/>
  </w:style>
  <w:style w:type="character" w:styleId="PlaceholderText">
    <w:name w:val="Placeholder Text"/>
    <w:basedOn w:val="DefaultParagraphFont"/>
    <w:uiPriority w:val="99"/>
    <w:semiHidden/>
    <w:rsid w:val="001365A4"/>
    <w:rPr>
      <w:color w:val="808080"/>
    </w:rPr>
  </w:style>
  <w:style w:type="paragraph" w:styleId="Revision">
    <w:name w:val="Revision"/>
    <w:hidden/>
    <w:uiPriority w:val="99"/>
    <w:semiHidden/>
    <w:rsid w:val="00351FE4"/>
  </w:style>
  <w:style w:type="character" w:styleId="CommentReference">
    <w:name w:val="annotation reference"/>
    <w:basedOn w:val="DefaultParagraphFont"/>
    <w:uiPriority w:val="99"/>
    <w:semiHidden/>
    <w:unhideWhenUsed/>
    <w:rsid w:val="000A6BC5"/>
    <w:rPr>
      <w:sz w:val="16"/>
      <w:szCs w:val="16"/>
    </w:rPr>
  </w:style>
  <w:style w:type="paragraph" w:styleId="CommentText">
    <w:name w:val="annotation text"/>
    <w:basedOn w:val="Normal"/>
    <w:link w:val="CommentTextChar"/>
    <w:uiPriority w:val="99"/>
    <w:unhideWhenUsed/>
    <w:rsid w:val="000A6BC5"/>
    <w:pPr>
      <w:spacing w:line="240" w:lineRule="auto"/>
    </w:pPr>
    <w:rPr>
      <w:sz w:val="20"/>
      <w:szCs w:val="20"/>
    </w:rPr>
  </w:style>
  <w:style w:type="character" w:customStyle="1" w:styleId="CommentTextChar">
    <w:name w:val="Comment Text Char"/>
    <w:basedOn w:val="DefaultParagraphFont"/>
    <w:link w:val="CommentText"/>
    <w:uiPriority w:val="99"/>
    <w:rsid w:val="000A6BC5"/>
    <w:rPr>
      <w:sz w:val="20"/>
      <w:szCs w:val="20"/>
    </w:rPr>
  </w:style>
  <w:style w:type="paragraph" w:styleId="CommentSubject">
    <w:name w:val="annotation subject"/>
    <w:basedOn w:val="CommentText"/>
    <w:next w:val="CommentText"/>
    <w:link w:val="CommentSubjectChar"/>
    <w:uiPriority w:val="99"/>
    <w:semiHidden/>
    <w:unhideWhenUsed/>
    <w:rsid w:val="000A6BC5"/>
    <w:rPr>
      <w:b/>
      <w:bCs/>
    </w:rPr>
  </w:style>
  <w:style w:type="character" w:customStyle="1" w:styleId="CommentSubjectChar">
    <w:name w:val="Comment Subject Char"/>
    <w:basedOn w:val="CommentTextChar"/>
    <w:link w:val="CommentSubject"/>
    <w:uiPriority w:val="99"/>
    <w:semiHidden/>
    <w:rsid w:val="000A6BC5"/>
    <w:rPr>
      <w:b/>
      <w:bCs/>
      <w:sz w:val="20"/>
      <w:szCs w:val="20"/>
    </w:rPr>
  </w:style>
  <w:style w:type="paragraph" w:styleId="TOCHeading">
    <w:name w:val="TOC Heading"/>
    <w:basedOn w:val="Heading1"/>
    <w:next w:val="Normal"/>
    <w:uiPriority w:val="39"/>
    <w:unhideWhenUsed/>
    <w:qFormat/>
    <w:rsid w:val="00CC3C69"/>
    <w:pPr>
      <w:numPr>
        <w:numId w:val="0"/>
      </w:numPr>
      <w:spacing w:after="0" w:line="259" w:lineRule="auto"/>
      <w:outlineLvl w:val="9"/>
    </w:pPr>
    <w:rPr>
      <w:rFonts w:asciiTheme="majorHAnsi" w:hAnsiTheme="majorHAnsi"/>
      <w:b w:val="0"/>
      <w:caps w:val="0"/>
      <w:color w:val="2F5496" w:themeColor="accent1" w:themeShade="BF"/>
      <w:sz w:val="32"/>
    </w:rPr>
  </w:style>
  <w:style w:type="paragraph" w:styleId="TOC2">
    <w:name w:val="toc 2"/>
    <w:basedOn w:val="Normal"/>
    <w:next w:val="Normal"/>
    <w:autoRedefine/>
    <w:uiPriority w:val="39"/>
    <w:unhideWhenUsed/>
    <w:rsid w:val="00CC3C6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4FCC2-354D-4452-8C14-F452C6DEE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6370</Words>
  <Characters>36312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 Shapiro</dc:creator>
  <cp:keywords/>
  <dc:description/>
  <cp:lastModifiedBy>Amy Wax</cp:lastModifiedBy>
  <cp:revision>2</cp:revision>
  <dcterms:created xsi:type="dcterms:W3CDTF">2023-01-17T16:02:00Z</dcterms:created>
  <dcterms:modified xsi:type="dcterms:W3CDTF">2023-01-17T16:02:00Z</dcterms:modified>
</cp:coreProperties>
</file>